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Washington, D.C. 20549</w:t>
      </w:r>
    </w:p>
    <w:p>
      <w:pPr>
        <w:spacing w:after="0" w:line="192"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UNDER THE SECURITIES EXCHANGE ACT OF 1934</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199"/>
        <w:spacing w:after="0" w:line="207" w:lineRule="exact"/>
        <w:tabs>
          <w:tab w:leader="none" w:pos="380" w:val="left"/>
          <w:tab w:leader="none" w:pos="320" w:val="left"/>
          <w:tab w:leader="none" w:pos="38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386080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412115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694690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40"/>
          </w:cols>
          <w:pgMar w:left="1220" w:top="751" w:right="1239" w:bottom="1440" w:gutter="0" w:footer="0" w:header="0"/>
        </w:sectPr>
      </w:pPr>
    </w:p>
    <w:bookmarkStart w:id="1" w:name="page2"/>
    <w:bookmarkEnd w:id="1"/>
    <w:p>
      <w:pPr>
        <w:ind w:firstLine="648"/>
        <w:spacing w:after="0" w:line="282" w:lineRule="auto"/>
        <w:rPr>
          <w:sz w:val="20"/>
          <w:szCs w:val="20"/>
          <w:color w:val="auto"/>
        </w:rPr>
      </w:pPr>
      <w:r>
        <w:rPr>
          <w:rFonts w:ascii="Times New Roman" w:cs="Times New Roman" w:eastAsia="Times New Roman" w:hAnsi="Times New Roman"/>
          <w:sz w:val="18"/>
          <w:szCs w:val="18"/>
          <w:color w:val="auto"/>
        </w:rPr>
        <w:t>On June 30, 2026, AC Immune SA issued a press release announcing 12-month data from Phase 1b/2 ABATE Trial of ACI-24 in Prodromal Alzheimer’s Disease. A copy of the press release is attached as Exhibit 99.1 to this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320" w:top="796" w:right="8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36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3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52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238"/>
        </w:trPr>
        <w:tc>
          <w:tcPr>
            <w:tcW w:w="13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520" w:type="dxa"/>
            <w:vAlign w:val="bottom"/>
          </w:tcPr>
          <w:p>
            <w:pPr>
              <w:spacing w:after="0"/>
              <w:rPr>
                <w:sz w:val="20"/>
                <w:szCs w:val="20"/>
                <w:color w:val="auto"/>
              </w:rPr>
            </w:pPr>
          </w:p>
        </w:tc>
        <w:tc>
          <w:tcPr>
            <w:tcW w:w="736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June 30, 2026</w:t>
            </w:r>
          </w:p>
        </w:tc>
      </w:tr>
      <w:tr>
        <w:trPr>
          <w:trHeight w:val="574"/>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top w:val="single" w:sz="8" w:color="0000EE"/>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Martin Zügel</w:t>
      </w:r>
    </w:p>
    <w:p>
      <w:pPr>
        <w:spacing w:after="0" w:line="1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Martin Zügel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5"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-128270</wp:posOffset>
            </wp:positionV>
            <wp:extent cx="161163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16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line="298" w:lineRule="auto"/>
        <w:rPr>
          <w:sz w:val="20"/>
          <w:szCs w:val="20"/>
          <w:color w:val="auto"/>
        </w:rPr>
      </w:pPr>
      <w:r>
        <w:rPr>
          <w:rFonts w:ascii="Arial" w:cs="Arial" w:eastAsia="Arial" w:hAnsi="Arial"/>
          <w:sz w:val="25"/>
          <w:szCs w:val="25"/>
          <w:b w:val="1"/>
          <w:bCs w:val="1"/>
          <w:color w:val="auto"/>
        </w:rPr>
        <w:t>AC Immune Reports Interim 12-Month Data from Phase 1b/2 ABATE Trial of ACI-24 in Prodromal Alzheimer’s Disease</w:t>
      </w:r>
    </w:p>
    <w:p>
      <w:pPr>
        <w:spacing w:after="0" w:line="18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ACI-24 anti-Abeta active immunotherapy generally safe and well tolerated in first three Alzheimer’s disease (AD) cohorts in ABATE</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Anti-Abeta antibody dose-response demonstrated with antibodies detected at all dose levels in cohorts AD1-3</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Ongoing AD4 cohort includes additional adjuvant designed to enhance ACI-24 responses</w:t>
      </w:r>
    </w:p>
    <w:p>
      <w:pPr>
        <w:spacing w:after="0" w:line="225"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b w:val="1"/>
          <w:bCs w:val="1"/>
          <w:color w:val="auto"/>
        </w:rPr>
        <w:t xml:space="preserve">Lausanne, Switzerland, June 30, 2026 -- </w:t>
      </w:r>
      <w:r>
        <w:rPr>
          <w:rFonts w:ascii="Arial" w:cs="Arial" w:eastAsia="Arial" w:hAnsi="Arial"/>
          <w:sz w:val="18"/>
          <w:szCs w:val="18"/>
          <w:color w:val="auto"/>
        </w:rPr>
        <w:t>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therapeutics for neurodegenerative diseases, today announced interim data from the first three cohorts (AD1, AD2 &amp; AD3) of 74 patients with prodromal Alzheimer’s disease (AD) in the Phase 1b/2 ABATE trial following 12 months of treatment with ACI-24 anti-amyloid beta (Abeta) active immunotherapy.</w:t>
      </w:r>
    </w:p>
    <w:p>
      <w:pPr>
        <w:spacing w:after="0" w:line="160"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In the trial to date, ACI-24 has been generally safe and well tolerated, with no evidence of amyloid-related imaging abnormalities-edema (ARIA-E). Anti-Abeta antibody responses were detected at every dose level with a dose response.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evaluated enhancing ACI-24 with an additional adjuvant to boost immunogenicity while the ABATE trial was ongoing.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This is currently being tested in the recently initiated ABATE Cohort AD4.</w:t>
      </w:r>
    </w:p>
    <w:p>
      <w:pPr>
        <w:spacing w:after="0" w:line="18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Martin Zügel, MD, interim CEO of AC Immune and Chair of the Board of Directors</w:t>
      </w:r>
      <w:r>
        <w:rPr>
          <w:rFonts w:ascii="Arial" w:cs="Arial" w:eastAsia="Arial" w:hAnsi="Arial"/>
          <w:sz w:val="18"/>
          <w:szCs w:val="18"/>
          <w:color w:val="auto"/>
        </w:rPr>
        <w:t>, commented: “The nature of the antibody 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observed in ABATE suggests that we should further enhance immunogenicity for more effective plaque removal. Cohort AD4 was initiated to evaluate enhancing ACI-24 with an additional adjuvant.”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ACI-24 and the ABATE trial</w:t>
      </w:r>
    </w:p>
    <w:p>
      <w:pPr>
        <w:spacing w:after="0" w:line="19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ACI-24 is AC Immune’s anti-Abeta active immunotherapy candidate. ABATE is a randomized, double-blind, placebo-controlled Phase 1b/2 trial of ACI-24 in prodromal AD and in adults with Down syndrome (DS) where recruitment of participants into the third cohort, DS3, has been concluded (NCT05462106). Enrolled patients in the AD cohorts are required to have a diagnosis of prodromal AD: MCI due to AD according to the National Institute on Aging Alzheimer’s Association (NIA-AA) criteria, and a PET scan at screening must be consistent with the presence of amyloid pathology. Following multiple data safety monitoring board (DSMB) reviews, no safety concerns have been raised to date, with no evidence of amyloid-related imaging abnormalities (ARIA), consistent with previous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Takeda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-128270</wp:posOffset>
            </wp:positionV>
            <wp:extent cx="1611630"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116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AC Immune has an exclusive, worldwide option and license agreement with Takeda on anti-Abeta active immunotherapies, including ACI-24. Under the terms of the agreement, AC Immune received an upfront payment of $100 million and a milestone of $12 million on dosing of the first patients in Cohort AD4. AC Immune is eligible to receive an option exercise fee and additional potential development, commercial and sales-based milestones of up to approximately $2.1 billion. Upon commercialization, AC Immune will be entitled to receive tiered double-digit royalties on worldwide net sales. AC Immune is responsible for conducting the ABATE trial. Following the potential option exercise, Takeda would conduct and fund all further clinical development and be responsible for all global regulatory activities as well as worldwide commercialization.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0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3"/>
        </w:trPr>
        <w:tc>
          <w:tcPr>
            <w:tcW w:w="512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SVP, Investor Relations &amp; Corporate Communications</w:t>
            </w:r>
          </w:p>
        </w:tc>
        <w:tc>
          <w:tcPr>
            <w:tcW w:w="3300" w:type="dxa"/>
            <w:vAlign w:val="bottom"/>
            <w:gridSpan w:val="2"/>
          </w:tcPr>
          <w:p>
            <w:pPr>
              <w:ind w:left="500"/>
              <w:spacing w:after="0" w:line="202" w:lineRule="exact"/>
              <w:rPr>
                <w:sz w:val="20"/>
                <w:szCs w:val="20"/>
                <w:color w:val="auto"/>
              </w:rPr>
            </w:pPr>
            <w:r>
              <w:rPr>
                <w:rFonts w:ascii="Arial" w:cs="Arial" w:eastAsia="Arial" w:hAnsi="Arial"/>
                <w:sz w:val="18"/>
                <w:szCs w:val="18"/>
                <w:b w:val="1"/>
                <w:bCs w:val="1"/>
                <w:color w:val="auto"/>
              </w:rPr>
              <w:t>International Media</w:t>
            </w:r>
          </w:p>
        </w:tc>
      </w:tr>
      <w:tr>
        <w:trPr>
          <w:trHeight w:val="203"/>
        </w:trPr>
        <w:tc>
          <w:tcPr>
            <w:tcW w:w="5120" w:type="dxa"/>
            <w:vAlign w:val="bottom"/>
            <w:gridSpan w:val="3"/>
          </w:tcPr>
          <w:p>
            <w:pPr>
              <w:spacing w:after="0" w:line="202" w:lineRule="exact"/>
              <w:rPr>
                <w:sz w:val="20"/>
                <w:szCs w:val="20"/>
                <w:color w:val="auto"/>
              </w:rPr>
            </w:pPr>
            <w:r>
              <w:rPr>
                <w:rFonts w:ascii="Arial" w:cs="Arial" w:eastAsia="Arial" w:hAnsi="Arial"/>
                <w:sz w:val="18"/>
                <w:szCs w:val="18"/>
                <w:color w:val="auto"/>
              </w:rPr>
              <w:t>Gary Waanders, Ph.D., MBA</w:t>
            </w:r>
          </w:p>
        </w:tc>
        <w:tc>
          <w:tcPr>
            <w:tcW w:w="330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Chris Maggos</w:t>
            </w:r>
          </w:p>
        </w:tc>
      </w:tr>
      <w:tr>
        <w:trPr>
          <w:trHeight w:val="203"/>
        </w:trPr>
        <w:tc>
          <w:tcPr>
            <w:tcW w:w="512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330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Cohesion Bureau</w:t>
            </w:r>
          </w:p>
        </w:tc>
      </w:tr>
      <w:tr>
        <w:trPr>
          <w:trHeight w:val="197"/>
        </w:trPr>
        <w:tc>
          <w:tcPr>
            <w:tcW w:w="5120" w:type="dxa"/>
            <w:vAlign w:val="bottom"/>
            <w:gridSpan w:val="3"/>
          </w:tcPr>
          <w:p>
            <w:pPr>
              <w:spacing w:after="0" w:line="197" w:lineRule="exact"/>
              <w:rPr>
                <w:sz w:val="20"/>
                <w:szCs w:val="20"/>
                <w:color w:val="auto"/>
              </w:rPr>
            </w:pPr>
            <w:r>
              <w:rPr>
                <w:rFonts w:ascii="Arial" w:cs="Arial" w:eastAsia="Arial" w:hAnsi="Arial"/>
                <w:sz w:val="18"/>
                <w:szCs w:val="18"/>
                <w:color w:val="auto"/>
              </w:rPr>
              <w:t>Phone: +41 21 345 91 91</w:t>
            </w:r>
          </w:p>
        </w:tc>
        <w:tc>
          <w:tcPr>
            <w:tcW w:w="3300" w:type="dxa"/>
            <w:vAlign w:val="bottom"/>
            <w:gridSpan w:val="2"/>
          </w:tcPr>
          <w:p>
            <w:pPr>
              <w:ind w:left="500"/>
              <w:spacing w:after="0" w:line="197" w:lineRule="exact"/>
              <w:rPr>
                <w:sz w:val="20"/>
                <w:szCs w:val="20"/>
                <w:color w:val="auto"/>
              </w:rPr>
            </w:pPr>
            <w:r>
              <w:rPr>
                <w:rFonts w:ascii="Arial" w:cs="Arial" w:eastAsia="Arial" w:hAnsi="Arial"/>
                <w:sz w:val="18"/>
                <w:szCs w:val="18"/>
                <w:color w:val="auto"/>
              </w:rPr>
              <w:t>Phone: +41 79 367 6254</w:t>
            </w:r>
          </w:p>
        </w:tc>
      </w:tr>
      <w:tr>
        <w:trPr>
          <w:trHeight w:val="200"/>
        </w:trPr>
        <w:tc>
          <w:tcPr>
            <w:tcW w:w="5120" w:type="dxa"/>
            <w:vAlign w:val="bottom"/>
            <w:gridSpan w:val="3"/>
          </w:tcPr>
          <w:p>
            <w:pPr>
              <w:spacing w:after="0" w:line="200" w:lineRule="exact"/>
              <w:rPr>
                <w:sz w:val="20"/>
                <w:szCs w:val="20"/>
                <w:color w:val="auto"/>
              </w:rPr>
            </w:pPr>
            <w:r>
              <w:rPr>
                <w:rFonts w:ascii="Arial" w:cs="Arial" w:eastAsia="Arial" w:hAnsi="Arial"/>
                <w:sz w:val="18"/>
                <w:szCs w:val="18"/>
                <w:color w:val="auto"/>
              </w:rPr>
              <w:t xml:space="preserve">Email: </w:t>
            </w:r>
            <w:r>
              <w:rPr>
                <w:rFonts w:ascii="Calibri" w:cs="Calibri" w:eastAsia="Calibri" w:hAnsi="Calibri"/>
                <w:sz w:val="19"/>
                <w:szCs w:val="19"/>
                <w:color w:val="0000FF"/>
              </w:rPr>
              <w:t>gary.waanders@acimmune.com</w:t>
            </w:r>
          </w:p>
        </w:tc>
        <w:tc>
          <w:tcPr>
            <w:tcW w:w="3300" w:type="dxa"/>
            <w:vAlign w:val="bottom"/>
            <w:gridSpan w:val="2"/>
          </w:tcPr>
          <w:p>
            <w:pPr>
              <w:ind w:left="500"/>
              <w:spacing w:after="0" w:line="200" w:lineRule="exact"/>
              <w:rPr>
                <w:sz w:val="20"/>
                <w:szCs w:val="20"/>
                <w:color w:val="auto"/>
              </w:rPr>
            </w:pPr>
            <w:r>
              <w:rPr>
                <w:rFonts w:ascii="Arial" w:cs="Arial" w:eastAsia="Arial" w:hAnsi="Arial"/>
                <w:sz w:val="18"/>
                <w:szCs w:val="18"/>
                <w:color w:val="auto"/>
              </w:rPr>
              <w:t xml:space="preserve">Email: </w:t>
            </w:r>
            <w:r>
              <w:rPr>
                <w:rFonts w:ascii="Calibri" w:cs="Calibri" w:eastAsia="Calibri" w:hAnsi="Calibri"/>
                <w:sz w:val="19"/>
                <w:szCs w:val="19"/>
                <w:color w:val="0000FF"/>
              </w:rPr>
              <w:t>aciu@cohesionbureau.com</w:t>
            </w:r>
          </w:p>
        </w:tc>
      </w:tr>
      <w:tr>
        <w:trPr>
          <w:trHeight w:val="20"/>
        </w:trPr>
        <w:tc>
          <w:tcPr>
            <w:tcW w:w="56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 validated technology platforms, SupraAntigen® and Morphomer®, fuel its pipeline of first- and best-in-class assets, which currently features a range of therapeutic and diagnostic programs, including candidates in Phase 2 and Phase 3 development. AC Immune has a strong track record of securing strategic partnerships with leading global pharmaceutical companies, resulting in substantial non-dilutive funding to advance its proprietary programs and &gt;$4.5 billion in potential milestone payments plus royalties.</w:t>
      </w:r>
    </w:p>
    <w:p>
      <w:pPr>
        <w:spacing w:after="0" w:line="16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SupraAntigen® is a registered trademark of AC Immune SA in the following territories: AU, EU, CH, GB, JP, RU, SG and USA. Morphomer® is a registered trademark of AC Immune SA in CA, CN, CH, EU, GB, JP, KR, NO, RU and SG.</w:t>
      </w:r>
    </w:p>
    <w:p>
      <w:pPr>
        <w:spacing w:after="0" w:line="140"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2026-06-30T08:07:01Z</dcterms:created>
  <dcterms:modified xsi:type="dcterms:W3CDTF">2026-06-30T08:07:01Z</dcterms:modified>
</cp:coreProperties>
</file>