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240"/>
        <w:ind w:left="0" w:right="0" w:hanging="0"/>
        <w:jc w:val="center"/>
        <w:rPr/>
      </w:pPr>
      <w:bookmarkStart w:id="0" w:name="aciu-20260923x6k.htm"/>
      <w:bookmarkStart w:id="1" w:name="ksaciu20260923x6k"/>
      <w:bookmarkEnd w:id="0"/>
      <w:bookmarkEnd w:id="1"/>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UNITED STATES</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SECURITIES AND EXCHANGE COMMISSION</w:t>
      </w:r>
    </w:p>
    <w:p>
      <w:pPr>
        <w:pStyle w:val="TextBody"/>
        <w:bidi w:val="0"/>
        <w:spacing w:lineRule="auto" w:line="285" w:before="0" w:after="0"/>
        <w:ind w:left="0" w:right="0" w:hanging="0"/>
        <w:jc w:val="center"/>
        <w:rPr>
          <w:rFonts w:ascii="Times New Roman;Times;serif" w:hAnsi="Times New Roman;Times;serif"/>
          <w:sz w:val="26"/>
        </w:rPr>
      </w:pPr>
      <w:r>
        <w:rPr>
          <w:rFonts w:ascii="Times New Roman;Times;serif" w:hAnsi="Times New Roman;Times;serif"/>
          <w:sz w:val="26"/>
        </w:rPr>
        <w:t>Washington, D.C. 20549</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6-K</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REPORT OF FOREIGN PRIVATE ISSUER PURSUANT TO RULE 13a-16 OR 15d-16 UNDER THE SECURITIES EXCHANGE ACT OF 1934</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the month of September, 2026</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001-37891</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AC IMMUNE SA</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EPFL Innovation Park</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Building B</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1015 Lausanne, Switzerland</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lineRule="auto" w:line="285" w:before="0" w:after="240"/>
        <w:ind w:left="0" w:right="0" w:hanging="0"/>
        <w:jc w:val="center"/>
        <w:rPr/>
      </w:pPr>
      <w:r>
        <w:rPr/>
        <w:t>​</w:t>
      </w:r>
    </w:p>
    <w:p>
      <w:pPr>
        <w:pStyle w:val="TextBody"/>
        <w:pBdr>
          <w:top w:val="single" w:sz="8" w:space="1" w:color="000000"/>
          <w:bottom w:val="single" w:sz="24" w:space="1" w:color="000000"/>
        </w:pBdr>
        <w:bidi w:val="0"/>
        <w:spacing w:lineRule="auto" w:line="285" w:before="0" w:after="24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September 23, 2026, AC Immune SA issued a press release announcing positive safety and immunogenicity results through week-100 in Part 1 of VacSYn, its randomized, double-blind, placebo-controlled Phase 2 trial of ACI-7104 in patients with early-stage Parkinson’s disease (PD). A copy of the press release is attached as Exhibit 99.1 to this Report on Form 6-K. </w:t>
      </w:r>
    </w:p>
    <w:p>
      <w:pPr>
        <w:pStyle w:val="TextBody"/>
        <w:bidi w:val="0"/>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This Report on Form 6-K (excluding Exhibit 99.1)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pPr>
      <w:r>
        <w:rPr/>
        <w: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EXHIBIT INDEX</w:t>
      </w:r>
    </w:p>
    <w:p>
      <w:pPr>
        <w:pStyle w:val="TextBody"/>
        <w:bidi w:val="0"/>
        <w:spacing w:lineRule="auto" w:line="285" w:before="0" w:after="240"/>
        <w:ind w:left="0" w:right="0" w:hanging="0"/>
        <w:jc w:val="both"/>
        <w:rPr/>
      </w:pPr>
      <w:r>
        <w:rPr/>
        <w:t>​</w:t>
      </w:r>
    </w:p>
    <w:tbl>
      <w:tblPr>
        <w:tblW w:w="4443" w:type="dxa"/>
        <w:jc w:val="left"/>
        <w:tblInd w:w="0" w:type="dxa"/>
        <w:tblLayout w:type="fixed"/>
        <w:tblCellMar>
          <w:top w:w="0" w:type="dxa"/>
          <w:left w:w="0" w:type="dxa"/>
          <w:bottom w:w="0" w:type="dxa"/>
          <w:right w:w="0" w:type="dxa"/>
        </w:tblCellMar>
      </w:tblPr>
      <w:tblGrid>
        <w:gridCol w:w="706"/>
        <w:gridCol w:w="346"/>
        <w:gridCol w:w="3391"/>
      </w:tblGrid>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91" w:type="dxa"/>
            <w:tcBorders/>
            <w:vAlign w:val="center"/>
          </w:tcPr>
          <w:p>
            <w:pPr>
              <w:pStyle w:val="TableContents"/>
              <w:bidi w:val="0"/>
              <w:spacing w:lineRule="auto" w:line="285" w:before="0" w:after="0"/>
              <w:ind w:left="0" w:right="0" w:hanging="0"/>
              <w:jc w:val="left"/>
              <w:rPr/>
            </w:pPr>
            <w:r>
              <w:rPr/>
              <w:t>​</w:t>
            </w:r>
          </w:p>
        </w:tc>
      </w:tr>
      <w:tr>
        <w:trPr/>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uto" w:line="285" w:before="0" w:after="0"/>
              <w:ind w:left="0" w:right="0" w:hanging="0"/>
              <w:jc w:val="left"/>
              <w:rPr/>
            </w:pPr>
            <w:r>
              <w:rPr/>
              <w:t>  ​ ​ ​</w:t>
            </w:r>
          </w:p>
        </w:tc>
        <w:tc>
          <w:tcPr>
            <w:tcW w:w="33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285" w:before="0" w:after="0"/>
              <w:ind w:left="0" w:right="0" w:hanging="0"/>
              <w:jc w:val="left"/>
              <w:rPr/>
            </w:pPr>
            <w:r>
              <w:rPr/>
              <w:t>​</w:t>
            </w:r>
          </w:p>
        </w:tc>
        <w:tc>
          <w:tcPr>
            <w:tcW w:w="3391" w:type="dxa"/>
            <w:tcBorders/>
            <w:vAlign w:val="center"/>
          </w:tcPr>
          <w:p>
            <w:pPr>
              <w:pStyle w:val="TableContents"/>
              <w:bidi w:val="0"/>
              <w:spacing w:lineRule="auto" w:line="285" w:before="0" w:after="0"/>
              <w:ind w:left="0" w:right="0" w:hanging="0"/>
              <w:jc w:val="left"/>
              <w:rPr/>
            </w:pPr>
            <w:hyperlink w:anchor="aciu-20260923xex99d1.htm">
              <w:r>
                <w:rPr>
                  <w:rStyle w:val="InternetLink"/>
                  <w:rFonts w:ascii="Times New Roman;Times;serif" w:hAnsi="Times New Roman;Times;serif"/>
                  <w:b w:val="false"/>
                  <w:i w:val="false"/>
                  <w:caps w:val="false"/>
                  <w:smallCaps w:val="false"/>
                  <w:sz w:val="20"/>
                </w:rPr>
                <w:t>Press Release dated September 23, 2026</w:t>
              </w:r>
            </w:hyperlink>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SIGNATURE</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240"/>
        <w:ind w:left="0" w:right="0" w:hanging="0"/>
        <w:jc w:val="center"/>
        <w:rPr/>
      </w:pPr>
      <w:r>
        <w:rPr/>
        <w:t>​</w:t>
      </w:r>
    </w:p>
    <w:tbl>
      <w:tblPr>
        <w:tblW w:w="6138" w:type="dxa"/>
        <w:jc w:val="left"/>
        <w:tblInd w:w="0" w:type="dxa"/>
        <w:tblLayout w:type="fixed"/>
        <w:tblCellMar>
          <w:top w:w="0" w:type="dxa"/>
          <w:left w:w="0" w:type="dxa"/>
          <w:bottom w:w="0" w:type="dxa"/>
          <w:right w:w="0" w:type="dxa"/>
        </w:tblCellMar>
      </w:tblPr>
      <w:tblGrid>
        <w:gridCol w:w="2401"/>
        <w:gridCol w:w="406"/>
        <w:gridCol w:w="3331"/>
      </w:tblGrid>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401" w:type="dxa"/>
            <w:tcBorders/>
            <w:vAlign w:val="center"/>
          </w:tcPr>
          <w:p>
            <w:pPr>
              <w:pStyle w:val="TableContents"/>
              <w:bidi w:val="0"/>
              <w:spacing w:lineRule="auto" w:line="285" w:before="0" w:after="0"/>
              <w:ind w:left="0" w:right="0" w:hanging="0"/>
              <w:jc w:val="left"/>
              <w:rPr/>
            </w:pPr>
            <w:bookmarkStart w:id="2" w:name="_Hlk114779092"/>
            <w:bookmarkEnd w:id="2"/>
            <w:r>
              <w:rPr/>
              <w:t>​</w:t>
            </w:r>
          </w:p>
        </w:tc>
        <w:tc>
          <w:tcPr>
            <w:tcW w:w="373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AC IMMUNE SA</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3737" w:type="dxa"/>
            <w:gridSpan w:val="2"/>
            <w:tcBorders/>
            <w:vAlign w:val="center"/>
          </w:tcPr>
          <w:p>
            <w:pPr>
              <w:pStyle w:val="TableContents"/>
              <w:bidi w:val="0"/>
              <w:spacing w:lineRule="auto" w:line="285" w:before="0" w:after="0"/>
              <w:ind w:left="0" w:right="0" w:hanging="0"/>
              <w:jc w:val="left"/>
              <w:rPr/>
            </w:pPr>
            <w:r>
              <w:rPr/>
              <w:t>​</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Martin Zuegel</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Martin Zuegel</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Interim Chief Executive Officer</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Roberts</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Christopher Roberts</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240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September 23, 2026</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bookmarkStart w:id="3" w:name="aciu-20260923xex99d1.htm"/>
      <w:bookmarkStart w:id="4" w:name="ksaciu20260923xex99d1"/>
      <w:bookmarkEnd w:id="3"/>
      <w:bookmarkEnd w:id="4"/>
      <w:r>
        <w:rPr>
          <w:rFonts w:ascii="Aptos" w:hAnsi="Aptos"/>
          <w:b/>
          <w:sz w:val="22"/>
        </w:rPr>
        <w:t>Exhibit 99.1</w:t>
      </w:r>
      <w:r>
        <w:br w:type="page"/>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2">
                <wp:simplePos x="0" y="0"/>
                <wp:positionH relativeFrom="column">
                  <wp:align>left</wp:align>
                </wp:positionH>
                <wp:positionV relativeFrom="line">
                  <wp:posOffset>635</wp:posOffset>
                </wp:positionV>
                <wp:extent cx="1971040" cy="614680"/>
                <wp:effectExtent l="0" t="0" r="0" b="0"/>
                <wp:wrapSquare wrapText="right"/>
                <wp:docPr id="1" name="Frame1"/>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center"/>
        <w:rPr/>
      </w:pPr>
      <w:r>
        <w:rPr/>
        <w:t>​</w:t>
      </w:r>
    </w:p>
    <w:p>
      <w:pPr>
        <w:pStyle w:val="TextBody"/>
        <w:bidi w:val="0"/>
        <w:spacing w:lineRule="auto" w:line="429" w:before="0" w:after="0"/>
        <w:ind w:left="0" w:right="0" w:hanging="0"/>
        <w:jc w:val="center"/>
        <w:rPr>
          <w:rFonts w:ascii="Arial;Helvetica;sans-serif" w:hAnsi="Arial;Helvetica;sans-serif"/>
          <w:b/>
          <w:sz w:val="28"/>
        </w:rPr>
      </w:pPr>
      <w:bookmarkStart w:id="5" w:name="_Hlk195778772"/>
      <w:bookmarkEnd w:id="5"/>
      <w:r>
        <w:rPr>
          <w:rFonts w:ascii="Arial;Helvetica;sans-serif" w:hAnsi="Arial;Helvetica;sans-serif"/>
          <w:b/>
          <w:sz w:val="28"/>
        </w:rPr>
        <w:t>AC Immune Reports Positive Safety &amp; Immunogenicity at week-100 in Part 1 of VacSYn Phase 2 Trial of ACI-7104</w:t>
      </w:r>
    </w:p>
    <w:p>
      <w:pPr>
        <w:pStyle w:val="TextBody"/>
        <w:bidi w:val="0"/>
        <w:spacing w:lineRule="auto" w:line="343" w:before="0" w:after="0"/>
        <w:ind w:left="0" w:right="0" w:hanging="0"/>
        <w:jc w:val="left"/>
        <w:rPr/>
      </w:pPr>
      <w:r>
        <w:rPr/>
        <w:t>●</w:t>
      </w:r>
      <w:r>
        <w:rPr>
          <w:rFonts w:ascii="Arial;Helvetica;sans-serif" w:hAnsi="Arial;Helvetica;sans-serif"/>
          <w:i/>
          <w:sz w:val="20"/>
        </w:rPr>
        <w:t xml:space="preserve">All primary endpoints of the study were met, with ACI-7104 shown to be generally safe and well tolerated </w:t>
      </w:r>
    </w:p>
    <w:p>
      <w:pPr>
        <w:pStyle w:val="TextBody"/>
        <w:bidi w:val="0"/>
        <w:spacing w:lineRule="auto" w:line="343" w:before="0" w:after="0"/>
        <w:ind w:left="0" w:right="0" w:hanging="0"/>
        <w:jc w:val="left"/>
        <w:rPr/>
      </w:pPr>
      <w:r>
        <w:rPr/>
        <w:t>●</w:t>
      </w:r>
      <w:r>
        <w:rPr>
          <w:rFonts w:ascii="Arial;Helvetica;sans-serif" w:hAnsi="Arial;Helvetica;sans-serif"/>
          <w:i/>
          <w:sz w:val="20"/>
        </w:rPr>
        <w:t xml:space="preserve">Strong immunogenicity demonstrated, with 100% response rate after three immunizations </w:t>
      </w:r>
    </w:p>
    <w:p>
      <w:pPr>
        <w:pStyle w:val="TextBody"/>
        <w:bidi w:val="0"/>
        <w:spacing w:lineRule="auto" w:line="343" w:before="0" w:after="0"/>
        <w:ind w:left="0" w:right="0" w:hanging="0"/>
        <w:jc w:val="left"/>
        <w:rPr/>
      </w:pPr>
      <w:r>
        <w:rPr/>
        <w:t>●</w:t>
      </w:r>
      <w:r>
        <w:rPr>
          <w:rFonts w:ascii="Arial;Helvetica;sans-serif" w:hAnsi="Arial;Helvetica;sans-serif"/>
          <w:i/>
          <w:sz w:val="20"/>
        </w:rPr>
        <w:t>Clear antibody penetration into the</w:t>
      </w:r>
      <w:r>
        <w:rPr>
          <w:rFonts w:ascii="Aptos" w:hAnsi="Aptos"/>
          <w:sz w:val="22"/>
        </w:rPr>
        <w:t xml:space="preserve"> </w:t>
      </w:r>
      <w:r>
        <w:rPr>
          <w:rFonts w:ascii="Arial;Helvetica;sans-serif" w:hAnsi="Arial;Helvetica;sans-serif"/>
          <w:i/>
          <w:sz w:val="20"/>
        </w:rPr>
        <w:t xml:space="preserve">cerebrospinal fluid (CSF) and signals for target engagement </w:t>
      </w:r>
    </w:p>
    <w:p>
      <w:pPr>
        <w:pStyle w:val="TextBody"/>
        <w:bidi w:val="0"/>
        <w:spacing w:lineRule="auto" w:line="343" w:before="0" w:after="0"/>
        <w:ind w:left="0" w:right="0" w:hanging="0"/>
        <w:jc w:val="left"/>
        <w:rPr/>
      </w:pPr>
      <w:r>
        <w:rPr/>
        <w:t>●</w:t>
      </w:r>
      <w:r>
        <w:rPr>
          <w:rFonts w:ascii="Arial;Helvetica;sans-serif" w:hAnsi="Arial;Helvetica;sans-serif"/>
          <w:i/>
          <w:sz w:val="20"/>
        </w:rPr>
        <w:t xml:space="preserve">Discussions with FDA regarding future development path planned for early 2027 </w:t>
      </w:r>
    </w:p>
    <w:p>
      <w:pPr>
        <w:pStyle w:val="TextBody"/>
        <w:bidi w:val="0"/>
        <w:spacing w:lineRule="auto" w:line="343"/>
        <w:ind w:left="0" w:right="0" w:hanging="0"/>
        <w:jc w:val="left"/>
        <w:rPr/>
      </w:pPr>
      <w:r>
        <w:rPr/>
        <w:t>●</w:t>
      </w:r>
      <w:r>
        <w:rPr>
          <w:rFonts w:ascii="Arial;Helvetica;sans-serif" w:hAnsi="Arial;Helvetica;sans-serif"/>
          <w:i/>
          <w:sz w:val="20"/>
        </w:rPr>
        <w:t>AC Immune to host webcast &amp; conference call today at 10:00am EDT / 16:00 CEST details below</w:t>
      </w:r>
    </w:p>
    <w:p>
      <w:pPr>
        <w:pStyle w:val="TextBody"/>
        <w:bidi w:val="0"/>
        <w:spacing w:lineRule="auto" w:line="307" w:before="0" w:after="160"/>
        <w:ind w:left="0" w:right="0" w:hanging="0"/>
        <w:jc w:val="left"/>
        <w:rPr/>
      </w:pPr>
      <w:r>
        <w:rPr/>
        <w:t>​</w:t>
      </w:r>
    </w:p>
    <w:p>
      <w:pPr>
        <w:pStyle w:val="TextBody"/>
        <w:bidi w:val="0"/>
        <w:spacing w:lineRule="auto" w:line="379" w:before="0" w:after="160"/>
        <w:ind w:left="0" w:right="0" w:hanging="0"/>
        <w:jc w:val="both"/>
        <w:rPr>
          <w:rFonts w:ascii="Aptos" w:hAnsi="Aptos"/>
          <w:sz w:val="20"/>
        </w:rPr>
      </w:pPr>
      <w:r>
        <w:rPr>
          <w:rFonts w:ascii="Arial;Helvetica;sans-serif" w:hAnsi="Arial;Helvetica;sans-serif"/>
          <w:b/>
          <w:sz w:val="20"/>
        </w:rPr>
        <w:t>Lausanne, Switzerland, September 23, 2026</w:t>
      </w:r>
      <w:r>
        <w:rPr>
          <w:rFonts w:ascii="Aptos" w:hAnsi="Aptos"/>
          <w:sz w:val="20"/>
        </w:rPr>
        <w:t xml:space="preserve"> – </w:t>
      </w:r>
      <w:r>
        <w:rPr>
          <w:rFonts w:ascii="Arial;Helvetica;sans-serif" w:hAnsi="Arial;Helvetica;sans-serif"/>
          <w:sz w:val="20"/>
        </w:rPr>
        <w:t>AC Immune SA (NASDAQ: ACIU), a clinical-stage biopharmaceutical company developing targeted therapeutics for neurodegenerative diseases, today announced positive safety and immunogenicity results through week-100 in Part 1 of VacSYn, its randomized, double-blind, placebo-controlled Phase 2 trial of ACI-7104 in patients with early-stage Parkinson’s disease (PD). The study is being conducted in two parts with the aim for Part 1 being to show safety, tolerability and immunogenicity while Part 2 is designed to provide evidence of clinical activity as the basis for a Phase 3 decision. The Part 1 data reported today includes results from all 34 patients randomized into the study (25 patients receiving ACI-7104 and nine receiving placebo).</w:t>
      </w:r>
    </w:p>
    <w:p>
      <w:pPr>
        <w:pStyle w:val="TextBody"/>
        <w:bidi w:val="0"/>
        <w:spacing w:lineRule="auto" w:line="379" w:before="0" w:after="160"/>
        <w:ind w:left="0" w:right="0" w:hanging="0"/>
        <w:jc w:val="both"/>
        <w:rPr>
          <w:rFonts w:ascii="Aptos" w:hAnsi="Aptos"/>
          <w:sz w:val="20"/>
        </w:rPr>
      </w:pPr>
      <w:r>
        <w:rPr>
          <w:rFonts w:ascii="Arial;Helvetica;sans-serif" w:hAnsi="Arial;Helvetica;sans-serif"/>
          <w:sz w:val="20"/>
        </w:rPr>
        <w:t>The primary endpoints for Part 1 of the VacSYn trial of ACI-7104 were safety, tolerability and immunogenicity, all of which were met. ACI-7104 was generally safe and well-tolerated and shown to be strongly immunogenic, with 100% of patients developing antibodies against the immunizing a-syn target antigen PD01 after three immunizations. Antibody reactivity against the aggregated species of a-syn was also demonstrated. Robust antibody penetration into the</w:t>
      </w:r>
      <w:r>
        <w:rPr>
          <w:rFonts w:ascii="Aptos" w:hAnsi="Aptos"/>
          <w:sz w:val="20"/>
        </w:rPr>
        <w:t xml:space="preserve"> </w:t>
      </w:r>
      <w:r>
        <w:rPr>
          <w:rFonts w:ascii="Arial;Helvetica;sans-serif" w:hAnsi="Arial;Helvetica;sans-serif"/>
          <w:sz w:val="20"/>
        </w:rPr>
        <w:t xml:space="preserve">cerebrospinal fluid (CSF) was observed in all patients.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 xml:space="preserve">Part 1 of VacSYn was not designed for biomarker or clinical outcomes evaluation; however, additional exploratory analyses included monitoring the impact of ACI-7104 treatment on certain biomarkers (such as total a-syn and Neurofilament Light chain in the CSF), as well as clinical measures of disease activity. A signal was observed for total a-syn in the CSF, providing preliminary evidence consistent with target engagement. Exploratory correlation analyses identified trends suggesting an association between immunogenicity (antibody levels) and disease activity measures. While the sample size in Part 1 was limited, these observations provide a clear basis for further investigation.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 xml:space="preserve">The VacSYn trial of ACI-7104 in early-stage Parkinson’s disease continues in Part 1 (2-year extension) and is advancing toward the initiation of Part 2 (expansion). The final design of Part 2 is being consolidated and will be submitted to the FDA for review, with meetings expected early in 2027. </w:t>
      </w:r>
    </w:p>
    <w:p>
      <w:pPr>
        <w:pStyle w:val="TextBody"/>
        <w:pBdr/>
        <w:bidi w:val="0"/>
        <w:spacing w:lineRule="auto" w:line="379" w:before="0" w:after="0"/>
        <w:ind w:left="0" w:right="0" w:hanging="0"/>
        <w:jc w:val="both"/>
        <w:rPr>
          <w:rFonts w:ascii="Aptos" w:hAnsi="Aptos"/>
          <w:sz w:val="20"/>
        </w:rPr>
      </w:pPr>
      <w:r>
        <w:rPr>
          <w:rFonts w:ascii="Arial;Helvetica;sans-serif" w:hAnsi="Arial;Helvetica;sans-serif"/>
          <w:b/>
          <w:sz w:val="20"/>
        </w:rPr>
        <w:t>Martin Zügel, Interim CEO of</w:t>
      </w:r>
      <w:r>
        <w:rPr>
          <w:rFonts w:ascii="Aptos" w:hAnsi="Aptos"/>
          <w:sz w:val="20"/>
        </w:rPr>
        <w:t> </w:t>
      </w:r>
      <w:r>
        <w:rPr>
          <w:rFonts w:ascii="Arial;Helvetica;sans-serif" w:hAnsi="Arial;Helvetica;sans-serif"/>
          <w:b/>
          <w:sz w:val="20"/>
        </w:rPr>
        <w:t>AC Immune SA, commented:</w:t>
      </w:r>
      <w:r>
        <w:rPr>
          <w:rFonts w:ascii="Aptos" w:hAnsi="Aptos"/>
          <w:sz w:val="20"/>
        </w:rPr>
        <w:t> “</w:t>
      </w:r>
      <w:r>
        <w:rPr>
          <w:rFonts w:ascii="Arial;Helvetica;sans-serif" w:hAnsi="Arial;Helvetica;sans-serif"/>
          <w:i/>
          <w:sz w:val="20"/>
        </w:rPr>
        <w:t>The results from the complete data set at week-100 in Part 1 are encouraging, with all primary endpoints met, strong immunogenicity demonstrated, and a 100% response rate. This program is one of our strongest active immunotherapies, with ACI-7104-induced antibodies demonstrating preferential binding to aggregated a-syn species. We will now refine our approach to the next development steps in the program and discuss our plans with regulators before embarking on an expanded Phase 2 trial designed to provide evidence of clinical activity as the basis for entry into Phase 3.</w:t>
      </w:r>
      <w:r>
        <w:rPr>
          <w:rFonts w:ascii="Aptos" w:hAnsi="Aptos"/>
          <w:sz w:val="20"/>
        </w:rPr>
        <w:t>”</w:t>
      </w:r>
    </w:p>
    <w:p>
      <w:pPr>
        <w:pStyle w:val="TextBody"/>
        <w:bidi w:val="0"/>
        <w:spacing w:lineRule="auto" w:line="285" w:before="0" w:after="0"/>
        <w:ind w:left="0" w:right="0" w:hanging="0"/>
        <w:jc w:val="center"/>
        <w:rPr>
          <w:rFonts w:ascii="Aptos" w:hAnsi="Aptos"/>
          <w:sz w:val="14"/>
        </w:rPr>
      </w:pPr>
      <w:r>
        <w:rPr>
          <w:rFonts w:ascii="Aptos" w:hAnsi="Aptos"/>
          <w:sz w:val="14"/>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r>
        <w:rPr>
          <w:rFonts w:ascii="Aptos" w:hAnsi="Aptos"/>
          <w:b/>
          <w:sz w:val="22"/>
        </w:rPr>
        <w:t>Exhibit 99.1</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4">
                <wp:simplePos x="0" y="0"/>
                <wp:positionH relativeFrom="column">
                  <wp:align>left</wp:align>
                </wp:positionH>
                <wp:positionV relativeFrom="line">
                  <wp:posOffset>635</wp:posOffset>
                </wp:positionV>
                <wp:extent cx="1971040" cy="614680"/>
                <wp:effectExtent l="0" t="0" r="0" b="0"/>
                <wp:wrapSquare wrapText="right"/>
                <wp:docPr id="4" name="Frame2"/>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pBdr/>
        <w:shd w:fill="FFFFFF" w:val="clear"/>
        <w:bidi w:val="0"/>
        <w:spacing w:lineRule="auto" w:line="379" w:before="0" w:after="0"/>
        <w:ind w:left="0" w:right="0" w:hanging="0"/>
        <w:jc w:val="both"/>
        <w:rPr>
          <w:rFonts w:ascii="Times New Roman;Times;serif" w:hAnsi="Times New Roman;Times;serif"/>
          <w:sz w:val="20"/>
        </w:rPr>
      </w:pPr>
      <w:r>
        <w:rPr>
          <w:rFonts w:ascii="Arial;Helvetica;sans-serif" w:hAnsi="Arial;Helvetica;sans-serif"/>
          <w:b/>
          <w:sz w:val="20"/>
        </w:rPr>
        <w:t>Günther Staffler, Executive Vice President, Development at AC Immune SA, commented: </w:t>
      </w:r>
      <w:r>
        <w:rPr>
          <w:rFonts w:ascii="Times New Roman;Times;serif" w:hAnsi="Times New Roman;Times;serif"/>
          <w:sz w:val="20"/>
        </w:rPr>
        <w:t>“</w:t>
      </w:r>
      <w:r>
        <w:rPr>
          <w:rFonts w:ascii="Arial;Helvetica;sans-serif" w:hAnsi="Arial;Helvetica;sans-serif"/>
          <w:i/>
          <w:sz w:val="20"/>
        </w:rPr>
        <w:t>We are pleased to have observed strong and boostable immune responses, with significant antibody penetration into the CSF and signals for target engagement. Together with the favorable safety profile through week-100, and exploratory correlations between antibody titers and disease activity measures, we are confident that these results provide a strong foundation for the continued development of ACI-7104 into Part 2.</w:t>
      </w:r>
      <w:r>
        <w:rPr>
          <w:rFonts w:ascii="Times New Roman;Times;serif" w:hAnsi="Times New Roman;Times;serif"/>
          <w:sz w:val="20"/>
        </w:rPr>
        <w:t xml:space="preserve">” </w:t>
      </w:r>
    </w:p>
    <w:p>
      <w:pPr>
        <w:pStyle w:val="TextBody"/>
        <w:shd w:fill="FFFFFF" w:val="clear"/>
        <w:bidi w:val="0"/>
        <w:spacing w:lineRule="auto" w:line="285" w:before="0" w:after="100"/>
        <w:ind w:left="0" w:right="0" w:hanging="0"/>
        <w:jc w:val="both"/>
        <w:rPr/>
      </w:pPr>
      <w:r>
        <w:rPr/>
        <w:t>​</w:t>
      </w:r>
    </w:p>
    <w:p>
      <w:pPr>
        <w:pStyle w:val="TextBody"/>
        <w:shd w:fill="FFFFFF" w:val="clear"/>
        <w:bidi w:val="0"/>
        <w:spacing w:lineRule="auto" w:line="379" w:before="0" w:after="0"/>
        <w:ind w:left="0" w:right="0" w:hanging="0"/>
        <w:jc w:val="both"/>
        <w:rPr>
          <w:rFonts w:ascii="Arial;Helvetica;sans-serif" w:hAnsi="Arial;Helvetica;sans-serif"/>
          <w:i/>
          <w:sz w:val="20"/>
        </w:rPr>
      </w:pPr>
      <w:r>
        <w:rPr>
          <w:rFonts w:ascii="Arial;Helvetica;sans-serif" w:hAnsi="Arial;Helvetica;sans-serif"/>
          <w:i/>
          <w:sz w:val="20"/>
        </w:rPr>
        <w:t>Conference call details:</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Participants may call the following numbers, 10 – 15 minutes before conference start</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Switzerland / Europe: +41 (0) 58 310 50 00</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United Kingdom: +44 (0) 203 059 58 63</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United States: +1 (1) 631 570 56 13</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HD Web Phone™: Click Here</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Other international numbers available HERE</w:t>
      </w:r>
    </w:p>
    <w:p>
      <w:pPr>
        <w:pStyle w:val="TextBody"/>
        <w:bidi w:val="0"/>
        <w:spacing w:lineRule="auto" w:line="307" w:before="0" w:after="160"/>
        <w:ind w:left="0" w:right="0" w:hanging="0"/>
        <w:jc w:val="left"/>
        <w:rPr>
          <w:rFonts w:ascii="Aptos" w:hAnsi="Aptos"/>
          <w:sz w:val="20"/>
        </w:rPr>
      </w:pPr>
      <w:r>
        <w:rPr>
          <w:rFonts w:ascii="Arial;Helvetica;sans-serif" w:hAnsi="Arial;Helvetica;sans-serif"/>
          <w:sz w:val="20"/>
        </w:rPr>
        <w:t>Webcast link: https://event.choruscall.com/mediaframe/webcast.html?webcastid=lUHjSJWK</w:t>
      </w:r>
      <w:r>
        <w:rPr>
          <w:rFonts w:ascii="Aptos" w:hAnsi="Aptos"/>
          <w:sz w:val="20"/>
        </w:rPr>
        <w:t xml:space="preserve"> </w:t>
      </w:r>
    </w:p>
    <w:p>
      <w:pPr>
        <w:pStyle w:val="TextBody"/>
        <w:bidi w:val="0"/>
        <w:spacing w:lineRule="auto" w:line="307" w:before="0" w:after="160"/>
        <w:ind w:left="0" w:right="0" w:hanging="0"/>
        <w:jc w:val="left"/>
        <w:rPr>
          <w:rFonts w:ascii="Arial;Helvetica;sans-serif" w:hAnsi="Arial;Helvetica;sans-serif"/>
          <w:sz w:val="20"/>
        </w:rPr>
      </w:pPr>
      <w:r>
        <w:rPr>
          <w:rFonts w:ascii="Arial;Helvetica;sans-serif" w:hAnsi="Arial;Helvetica;sans-serif"/>
          <w:sz w:val="20"/>
        </w:rPr>
        <w:t>A live and archived webcast will also be accessible in the Investors section of the Company's website at https://www.acimmune.com/.</w:t>
      </w:r>
    </w:p>
    <w:p>
      <w:pPr>
        <w:pStyle w:val="TextBody"/>
        <w:bidi w:val="0"/>
        <w:spacing w:lineRule="auto" w:line="307" w:before="0" w:after="160"/>
        <w:ind w:left="0" w:right="0" w:hanging="0"/>
        <w:jc w:val="center"/>
        <w:rPr>
          <w:rFonts w:ascii="Arial;Helvetica;sans-serif" w:hAnsi="Arial;Helvetica;sans-serif"/>
          <w:b/>
          <w:sz w:val="20"/>
        </w:rPr>
      </w:pPr>
      <w:r>
        <w:rPr>
          <w:rFonts w:ascii="Arial;Helvetica;sans-serif" w:hAnsi="Arial;Helvetica;sans-serif"/>
          <w:b/>
          <w:sz w:val="20"/>
        </w:rPr>
        <w:t>Ends</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For further information, please contact:</w:t>
      </w:r>
    </w:p>
    <w:tbl>
      <w:tblPr>
        <w:tblW w:w="5357" w:type="dxa"/>
        <w:jc w:val="left"/>
        <w:tblInd w:w="0" w:type="dxa"/>
        <w:tblLayout w:type="fixed"/>
        <w:tblCellMar>
          <w:top w:w="0" w:type="dxa"/>
          <w:left w:w="0" w:type="dxa"/>
          <w:bottom w:w="0" w:type="dxa"/>
          <w:right w:w="0" w:type="dxa"/>
        </w:tblCellMar>
      </w:tblPr>
      <w:tblGrid>
        <w:gridCol w:w="5146"/>
        <w:gridCol w:w="211"/>
      </w:tblGrid>
      <w:tr>
        <w:trPr/>
        <w:tc>
          <w:tcPr>
            <w:tcW w:w="5146" w:type="dxa"/>
            <w:tcBorders/>
            <w:vAlign w:val="center"/>
          </w:tcPr>
          <w:p>
            <w:pPr>
              <w:pStyle w:val="TableContents"/>
              <w:bidi w:val="0"/>
              <w:spacing w:lineRule="auto" w:line="307" w:before="0" w:after="160"/>
              <w:ind w:left="0" w:right="0" w:hanging="0"/>
              <w:jc w:val="left"/>
              <w:rPr>
                <w:rFonts w:ascii="Aptos" w:hAnsi="Aptos"/>
                <w:sz w:val="20"/>
              </w:rPr>
            </w:pPr>
            <w:r>
              <w:rPr>
                <w:rFonts w:ascii="Arial;Helvetica;sans-serif" w:hAnsi="Arial;Helvetica;sans-serif"/>
                <w:b/>
                <w:sz w:val="20"/>
              </w:rPr>
              <w:t>SVP, Investor Relations &amp; Corporate Communications</w:t>
              <w:br/>
              <w:br/>
            </w:r>
            <w:r>
              <w:rPr>
                <w:rFonts w:ascii="Arial;Helvetica;sans-serif" w:hAnsi="Arial;Helvetica;sans-serif"/>
                <w:sz w:val="20"/>
              </w:rPr>
              <w:t>Gary Waanders, Ph.D., MBA</w:t>
              <w:br/>
              <w:t>AC Immune</w:t>
              <w:br/>
              <w:t>Phone: +41 21 345 91 91</w:t>
              <w:br/>
              <w:t>Email: gary.waanders@acimmune.com</w:t>
            </w:r>
            <w:r>
              <w:rPr>
                <w:rFonts w:ascii="Arial;Helvetica;sans-serif" w:hAnsi="Arial;Helvetica;sans-serif"/>
                <w:b/>
                <w:sz w:val="20"/>
              </w:rPr>
              <w:br/>
              <w:br/>
            </w:r>
            <w:r>
              <w:rPr>
                <w:rFonts w:ascii="Aptos" w:hAnsi="Aptos"/>
                <w:sz w:val="20"/>
              </w:rPr>
              <w:t>​</w:t>
            </w:r>
          </w:p>
        </w:tc>
        <w:tc>
          <w:tcPr>
            <w:tcW w:w="211" w:type="dxa"/>
            <w:tcBorders/>
            <w:vAlign w:val="center"/>
          </w:tcPr>
          <w:p>
            <w:pPr>
              <w:pStyle w:val="TableContents"/>
              <w:bidi w:val="0"/>
              <w:spacing w:lineRule="auto" w:line="307" w:before="0" w:after="160"/>
              <w:ind w:left="0" w:right="0" w:hanging="0"/>
              <w:jc w:val="left"/>
              <w:rPr/>
            </w:pPr>
            <w:r>
              <w:rPr/>
              <w:t>​</w:t>
            </w:r>
            <w:r>
              <w:rPr>
                <w:rFonts w:ascii="Arial;Helvetica;sans-serif" w:hAnsi="Arial;Helvetica;sans-serif"/>
                <w:b/>
                <w:sz w:val="20"/>
              </w:rPr>
              <w:br/>
              <w:t>​</w:t>
              <w:br/>
              <w:t>​</w:t>
              <w:br/>
              <w:t>​</w:t>
              <w:br/>
            </w:r>
            <w:r>
              <w:rPr>
                <w:rFonts w:ascii="Aptos" w:hAnsi="Aptos"/>
                <w:sz w:val="20"/>
              </w:rPr>
              <w:t> </w:t>
            </w:r>
          </w:p>
        </w:tc>
      </w:tr>
      <w:tr>
        <w:trPr/>
        <w:tc>
          <w:tcPr>
            <w:tcW w:w="5146" w:type="dxa"/>
            <w:tcBorders/>
            <w:vAlign w:val="center"/>
          </w:tcPr>
          <w:p>
            <w:pPr>
              <w:pStyle w:val="TableContents"/>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International Media</w:t>
            </w:r>
          </w:p>
          <w:p>
            <w:pPr>
              <w:pStyle w:val="TableContents"/>
              <w:bidi w:val="0"/>
              <w:spacing w:lineRule="auto" w:line="307" w:before="0" w:after="160"/>
              <w:ind w:left="0" w:right="0" w:hanging="0"/>
              <w:jc w:val="left"/>
              <w:rPr>
                <w:rFonts w:ascii="Aptos" w:hAnsi="Aptos"/>
                <w:sz w:val="20"/>
              </w:rPr>
            </w:pPr>
            <w:r>
              <w:rPr>
                <w:rFonts w:ascii="Arial;Helvetica;sans-serif" w:hAnsi="Arial;Helvetica;sans-serif"/>
                <w:b/>
                <w:sz w:val="20"/>
              </w:rPr>
              <w:t>Optimum Strategic Communications</w:t>
              <w:br/>
            </w:r>
            <w:r>
              <w:rPr>
                <w:rFonts w:ascii="Arial;Helvetica;sans-serif" w:hAnsi="Arial;Helvetica;sans-serif"/>
                <w:sz w:val="20"/>
              </w:rPr>
              <w:t>Nick Bastin, Joshua Evans, Aoife Minihan, Ben Cowe</w:t>
            </w:r>
            <w:r>
              <w:rPr>
                <w:rFonts w:ascii="Arial;Helvetica;sans-serif" w:hAnsi="Arial;Helvetica;sans-serif"/>
                <w:b/>
                <w:sz w:val="20"/>
              </w:rPr>
              <w:br/>
            </w:r>
            <w:r>
              <w:rPr>
                <w:rFonts w:ascii="Arial;Helvetica;sans-serif" w:hAnsi="Arial;Helvetica;sans-serif"/>
                <w:sz w:val="20"/>
              </w:rPr>
              <w:t>Phone: +44 (0) 20 4566 8543</w:t>
              <w:br/>
              <w:t>Email: acimmune@optimumcomms.com</w:t>
            </w:r>
            <w:r>
              <w:rPr>
                <w:rFonts w:ascii="Arial;Helvetica;sans-serif" w:hAnsi="Arial;Helvetica;sans-serif"/>
                <w:b/>
                <w:sz w:val="20"/>
              </w:rPr>
              <w:br/>
              <w:br/>
            </w:r>
            <w:r>
              <w:rPr>
                <w:rFonts w:ascii="Aptos" w:hAnsi="Aptos"/>
                <w:sz w:val="20"/>
              </w:rPr>
              <w:t>​</w:t>
            </w:r>
          </w:p>
        </w:tc>
        <w:tc>
          <w:tcPr>
            <w:tcW w:w="211" w:type="dxa"/>
            <w:tcBorders/>
            <w:vAlign w:val="center"/>
          </w:tcPr>
          <w:p>
            <w:pPr>
              <w:pStyle w:val="TableContents"/>
              <w:bidi w:val="0"/>
              <w:spacing w:lineRule="auto" w:line="307" w:before="0" w:after="160"/>
              <w:ind w:left="0" w:right="0" w:hanging="0"/>
              <w:jc w:val="left"/>
              <w:rPr/>
            </w:pPr>
            <w:r>
              <w:rPr/>
              <w:t> </w:t>
            </w:r>
          </w:p>
        </w:tc>
      </w:tr>
      <w:tr>
        <w:trPr/>
        <w:tc>
          <w:tcPr>
            <w:tcW w:w="51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79" w:before="0" w:after="160"/>
        <w:ind w:left="0" w:right="0" w:hanging="0"/>
        <w:jc w:val="both"/>
        <w:rPr>
          <w:rFonts w:ascii="Arial;Helvetica;sans-serif" w:hAnsi="Arial;Helvetica;sans-serif"/>
          <w:b/>
          <w:sz w:val="20"/>
        </w:rPr>
      </w:pPr>
      <w:r>
        <w:rPr>
          <w:rFonts w:ascii="Arial;Helvetica;sans-serif" w:hAnsi="Arial;Helvetica;sans-serif"/>
          <w:b/>
          <w:sz w:val="20"/>
        </w:rPr>
        <w:t>About VacSYn</w:t>
      </w:r>
    </w:p>
    <w:p>
      <w:pPr>
        <w:pStyle w:val="TextBody"/>
        <w:bidi w:val="0"/>
        <w:spacing w:lineRule="auto" w:line="379" w:before="0" w:after="0"/>
        <w:ind w:left="0" w:right="0" w:hanging="0"/>
        <w:jc w:val="both"/>
        <w:rPr>
          <w:rFonts w:ascii="Arial;Helvetica;sans-serif" w:hAnsi="Arial;Helvetica;sans-serif"/>
          <w:sz w:val="20"/>
        </w:rPr>
      </w:pPr>
      <w:r>
        <w:rPr>
          <w:rFonts w:ascii="Arial;Helvetica;sans-serif" w:hAnsi="Arial;Helvetica;sans-serif"/>
          <w:sz w:val="20"/>
        </w:rPr>
        <w:t xml:space="preserve">VacSYn (ClinicalTrials.gov: NCT06015841) is an adaptive, randomized, double-blind, placebo-controlled, and biomarker-based Phase 2 study in patients with early PD, consisting of two parts. Part 1 includes 34 patients randomized 3:1 to receive ACI-7104 or placebo, respectively. The results reported </w:t>
      </w:r>
    </w:p>
    <w:p>
      <w:pPr>
        <w:pStyle w:val="TextBody"/>
        <w:bidi w:val="0"/>
        <w:spacing w:lineRule="auto" w:line="285" w:before="0" w:after="0"/>
        <w:ind w:left="0" w:right="0" w:hanging="0"/>
        <w:jc w:val="center"/>
        <w:rPr>
          <w:rFonts w:ascii="Aptos" w:hAnsi="Aptos"/>
          <w:sz w:val="14"/>
        </w:rPr>
      </w:pPr>
      <w:r>
        <w:rPr>
          <w:rFonts w:ascii="Aptos" w:hAnsi="Aptos"/>
          <w:sz w:val="14"/>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r>
        <w:rPr>
          <w:rFonts w:ascii="Aptos" w:hAnsi="Aptos"/>
          <w:b/>
          <w:sz w:val="22"/>
        </w:rPr>
        <w:t>Exhibit 99.1</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6">
                <wp:simplePos x="0" y="0"/>
                <wp:positionH relativeFrom="column">
                  <wp:align>left</wp:align>
                </wp:positionH>
                <wp:positionV relativeFrom="line">
                  <wp:posOffset>635</wp:posOffset>
                </wp:positionV>
                <wp:extent cx="1971040" cy="614680"/>
                <wp:effectExtent l="0" t="0" r="0" b="0"/>
                <wp:wrapSquare wrapText="right"/>
                <wp:docPr id="7" name="Frame3"/>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7"/>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pBdr/>
        <w:bidi w:val="0"/>
        <w:spacing w:lineRule="auto" w:line="379" w:before="0" w:after="0"/>
        <w:ind w:left="0" w:right="0" w:hanging="0"/>
        <w:jc w:val="both"/>
        <w:rPr>
          <w:rFonts w:ascii="Arial;Helvetica;sans-serif" w:hAnsi="Arial;Helvetica;sans-serif"/>
          <w:sz w:val="20"/>
        </w:rPr>
      </w:pPr>
      <w:r>
        <w:rPr>
          <w:rFonts w:ascii="Arial;Helvetica;sans-serif" w:hAnsi="Arial;Helvetica;sans-serif"/>
          <w:sz w:val="20"/>
        </w:rPr>
        <w:t>today include data from all participants 100 weeks since initiation of treatment. The study is being conducted in two parts with the aim for Part 1 being to show safety, tolerability and immunogenicity while Part 2 is designed to provide evidence of clinical activity and support a Phase 3 decision.</w:t>
      </w:r>
    </w:p>
    <w:p>
      <w:pPr>
        <w:pStyle w:val="TextBody"/>
        <w:shd w:fill="FFFFFF" w:val="clear"/>
        <w:bidi w:val="0"/>
        <w:spacing w:lineRule="auto" w:line="285" w:before="0" w:after="100"/>
        <w:ind w:left="0" w:right="0" w:hanging="0"/>
        <w:jc w:val="both"/>
        <w:rPr/>
      </w:pPr>
      <w:r>
        <w:rPr/>
        <w:t>​</w:t>
      </w:r>
    </w:p>
    <w:p>
      <w:pPr>
        <w:pStyle w:val="TextBody"/>
        <w:bidi w:val="0"/>
        <w:spacing w:lineRule="auto" w:line="379" w:before="0" w:after="160"/>
        <w:ind w:left="0" w:right="0" w:hanging="0"/>
        <w:jc w:val="both"/>
        <w:rPr>
          <w:rFonts w:ascii="Arial;Helvetica;sans-serif" w:hAnsi="Arial;Helvetica;sans-serif"/>
          <w:b/>
          <w:sz w:val="20"/>
        </w:rPr>
      </w:pPr>
      <w:r>
        <w:rPr>
          <w:rFonts w:ascii="Arial;Helvetica;sans-serif" w:hAnsi="Arial;Helvetica;sans-serif"/>
          <w:b/>
          <w:sz w:val="20"/>
        </w:rPr>
        <w:t>About ACI-7104</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 xml:space="preserve">ACI-7104.056 is an optimized formulation of its clinically validated anti-a-syn predecessor active immunotherapy that generated a target-specific antibody response against pathological oligomeric a-syn to inhibit spreading and downstream neurodegeneration in early Parkinson’s disease. The accumulation of alpha-synuclein protein aggregates has been shown to cause inflammatory stress in cells and contribute to the degeneration of neurons in the brain. It has been known to play a key role in the development of neurodegenerative diseases such as Parkinson’s Disease. </w:t>
      </w:r>
    </w:p>
    <w:p>
      <w:pPr>
        <w:pStyle w:val="TextBody"/>
        <w:bidi w:val="0"/>
        <w:spacing w:lineRule="auto" w:line="379" w:before="0" w:after="160"/>
        <w:ind w:left="0" w:right="0" w:hanging="0"/>
        <w:jc w:val="both"/>
        <w:rPr>
          <w:rFonts w:ascii="Arial;Helvetica;sans-serif" w:hAnsi="Arial;Helvetica;sans-serif"/>
          <w:b/>
          <w:sz w:val="20"/>
        </w:rPr>
      </w:pPr>
      <w:r>
        <w:rPr>
          <w:rFonts w:ascii="Arial;Helvetica;sans-serif" w:hAnsi="Arial;Helvetica;sans-serif"/>
          <w:b/>
          <w:sz w:val="20"/>
        </w:rPr>
        <w:t>About AC Immune SA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AC Immune (NASDAQ: ACIU) is a clinical-stage biopharmaceutical company developing a pipeline of products, including both active immunotherapies and small molecules, targeting key misfolded proteins and pathways for the treatment of multiple neurodegenerative diseases. The company has a growing focus on its wholly owned proprietary clinical-stage programs, including: ACI-7104, an active immunotherapy targeting α-synuclein (α-syn) in Parkinson's disease; and ACI-19764, a small molecule inhibitor of the NLRP3 inflammasome. In addition, an early-stage small molecule development program targeting intracellular a-syn is advancing towards the clinic.</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 xml:space="preserve">ACIU has a strong track record of securing strategic partnerships with leading global pharmaceutical companies, resulting in substantial non-dilutive funding and &gt;$4.5 billion in potential milestone payments, plus royalties from sales. ACIU’s pharma-partnered programs, all in Alzheimer’s disease, include: a collaboration on ACI-24, an active immunotherapy targeting Abeta; a collaboration on ACI-35 targeting phospho-Tau; and a collaboration developing brain-penetrant small molecule drugs targeting intracellular pathologic Tau.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All trademarks used or mentioned in this release are protected by law. The information on our website and any other websites referenced herein is expressly not incorporated by reference into, and does not constitute a part of, this press release.</w:t>
      </w:r>
    </w:p>
    <w:p>
      <w:pPr>
        <w:pStyle w:val="TextBody"/>
        <w:bidi w:val="0"/>
        <w:spacing w:lineRule="auto" w:line="307" w:before="0" w:after="160"/>
        <w:ind w:left="0" w:right="0" w:hanging="0"/>
        <w:jc w:val="both"/>
        <w:rPr/>
      </w:pPr>
      <w:r>
        <w:rPr/>
        <w:t>​</w:t>
      </w:r>
    </w:p>
    <w:p>
      <w:pPr>
        <w:pStyle w:val="TextBody"/>
        <w:bidi w:val="0"/>
        <w:spacing w:lineRule="auto" w:line="379" w:before="0" w:after="160"/>
        <w:ind w:left="0" w:right="0" w:hanging="0"/>
        <w:jc w:val="both"/>
        <w:rPr>
          <w:rFonts w:ascii="Arial;Helvetica;sans-serif" w:hAnsi="Arial;Helvetica;sans-serif"/>
          <w:b/>
          <w:i/>
          <w:sz w:val="20"/>
        </w:rPr>
      </w:pPr>
      <w:r>
        <w:rPr>
          <w:rFonts w:ascii="Arial;Helvetica;sans-serif" w:hAnsi="Arial;Helvetica;sans-serif"/>
          <w:b/>
          <w:i/>
          <w:sz w:val="20"/>
        </w:rPr>
        <w:t>Forward looking statements</w:t>
      </w:r>
    </w:p>
    <w:p>
      <w:pPr>
        <w:pStyle w:val="TextBody"/>
        <w:bidi w:val="0"/>
        <w:spacing w:lineRule="auto" w:line="379" w:before="0" w:after="0"/>
        <w:ind w:left="0" w:right="0" w:hanging="0"/>
        <w:jc w:val="both"/>
        <w:rPr>
          <w:rFonts w:ascii="Arial;Helvetica;sans-serif" w:hAnsi="Arial;Helvetica;sans-serif"/>
          <w:i/>
          <w:sz w:val="20"/>
        </w:rPr>
      </w:pPr>
      <w:r>
        <w:rPr>
          <w:rFonts w:ascii="Arial;Helvetica;sans-serif" w:hAnsi="Arial;Helvetica;sans-serif"/>
          <w:i/>
          <w:sz w:val="20"/>
        </w:rPr>
        <w:t xml:space="preserve">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w:t>
      </w:r>
    </w:p>
    <w:p>
      <w:pPr>
        <w:pStyle w:val="TextBody"/>
        <w:bidi w:val="0"/>
        <w:spacing w:lineRule="auto" w:line="285" w:before="0" w:after="0"/>
        <w:ind w:left="0" w:right="0" w:hanging="0"/>
        <w:jc w:val="center"/>
        <w:rPr>
          <w:rFonts w:ascii="Aptos" w:hAnsi="Aptos"/>
          <w:sz w:val="14"/>
        </w:rPr>
      </w:pPr>
      <w:r>
        <w:rPr>
          <w:rFonts w:ascii="Aptos" w:hAnsi="Aptos"/>
          <w:sz w:val="14"/>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r>
        <w:rPr>
          <w:rFonts w:ascii="Aptos" w:hAnsi="Aptos"/>
          <w:b/>
          <w:sz w:val="22"/>
        </w:rPr>
        <w:t>Exhibit 99.1</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8">
                <wp:simplePos x="0" y="0"/>
                <wp:positionH relativeFrom="column">
                  <wp:align>left</wp:align>
                </wp:positionH>
                <wp:positionV relativeFrom="line">
                  <wp:posOffset>635</wp:posOffset>
                </wp:positionV>
                <wp:extent cx="1971040" cy="614680"/>
                <wp:effectExtent l="0" t="0" r="0" b="0"/>
                <wp:wrapSquare wrapText="right"/>
                <wp:docPr id="10" name="Frame4"/>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9"/>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379" w:before="0" w:after="160"/>
        <w:ind w:left="0" w:right="0" w:hanging="0"/>
        <w:jc w:val="both"/>
        <w:rPr>
          <w:rFonts w:ascii="Arial;Helvetica;sans-serif" w:hAnsi="Arial;Helvetica;sans-serif"/>
          <w:i/>
          <w:sz w:val="20"/>
        </w:rPr>
      </w:pPr>
      <w:r>
        <w:rPr>
          <w:rFonts w:ascii="Arial;Helvetica;sans-serif" w:hAnsi="Arial;Helvetica;sans-serif"/>
          <w:i/>
          <w:sz w:val="20"/>
        </w:rPr>
        <w:t>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bidi w:val="0"/>
        <w:spacing w:lineRule="auto" w:line="285" w:before="0" w:after="0"/>
        <w:ind w:left="0" w:right="0" w:hanging="0"/>
        <w:jc w:val="center"/>
        <w:rPr>
          <w:rFonts w:ascii="Aptos" w:hAnsi="Aptos"/>
          <w:sz w:val="14"/>
        </w:rPr>
      </w:pPr>
      <w:r>
        <w:rPr>
          <w:rFonts w:ascii="Aptos" w:hAnsi="Aptos"/>
          <w:sz w:val="14"/>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1604</Words>
  <Characters>9459</Characters>
  <CharactersWithSpaces>11112</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