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lineRule="auto" w:line="285" w:before="0" w:after="240"/>
        <w:ind w:left="0" w:right="0" w:hanging="0"/>
        <w:jc w:val="center"/>
        <w:rPr/>
      </w:pPr>
      <w:bookmarkStart w:id="0" w:name="aciu-20260820x6k.htm"/>
      <w:bookmarkStart w:id="1" w:name="ksaciu20260820x6k"/>
      <w:bookmarkEnd w:id="0"/>
      <w:bookmarkEnd w:id="1"/>
      <w:r>
        <w:rPr/>
        <w:t>​</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34"/>
        </w:rPr>
      </w:pPr>
      <w:r>
        <w:rPr>
          <w:rFonts w:ascii="Times New Roman;Times;serif" w:hAnsi="Times New Roman;Times;serif"/>
          <w:sz w:val="34"/>
        </w:rPr>
        <w:t>UNITED STATES</w:t>
      </w:r>
    </w:p>
    <w:p>
      <w:pPr>
        <w:pStyle w:val="TextBody"/>
        <w:bidi w:val="0"/>
        <w:spacing w:lineRule="auto" w:line="285" w:before="0" w:after="0"/>
        <w:ind w:left="0" w:right="0" w:hanging="0"/>
        <w:jc w:val="center"/>
        <w:rPr>
          <w:rFonts w:ascii="Times New Roman;Times;serif" w:hAnsi="Times New Roman;Times;serif"/>
          <w:sz w:val="34"/>
        </w:rPr>
      </w:pPr>
      <w:r>
        <w:rPr>
          <w:rFonts w:ascii="Times New Roman;Times;serif" w:hAnsi="Times New Roman;Times;serif"/>
          <w:sz w:val="34"/>
        </w:rPr>
        <w:t>SECURITIES AND EXCHANGE COMMISSION</w:t>
      </w:r>
    </w:p>
    <w:p>
      <w:pPr>
        <w:pStyle w:val="TextBody"/>
        <w:bidi w:val="0"/>
        <w:spacing w:lineRule="auto" w:line="285" w:before="0" w:after="0"/>
        <w:ind w:left="0" w:right="0" w:hanging="0"/>
        <w:jc w:val="center"/>
        <w:rPr>
          <w:rFonts w:ascii="Times New Roman;Times;serif" w:hAnsi="Times New Roman;Times;serif"/>
          <w:sz w:val="26"/>
        </w:rPr>
      </w:pPr>
      <w:r>
        <w:rPr>
          <w:rFonts w:ascii="Times New Roman;Times;serif" w:hAnsi="Times New Roman;Times;serif"/>
          <w:sz w:val="26"/>
        </w:rPr>
        <w:t>Washington, D.C. 20549</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2"/>
        </w:rPr>
      </w:pPr>
      <w:r>
        <w:rPr>
          <w:rFonts w:ascii="Times New Roman;Times;serif" w:hAnsi="Times New Roman;Times;serif"/>
          <w:b/>
          <w:sz w:val="32"/>
        </w:rPr>
        <w:t>FORM 6-K</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8"/>
        </w:rPr>
      </w:pPr>
      <w:r>
        <w:rPr>
          <w:rFonts w:ascii="Times New Roman;Times;serif" w:hAnsi="Times New Roman;Times;serif"/>
          <w:b/>
          <w:sz w:val="28"/>
        </w:rPr>
        <w:t>REPORT OF FOREIGN PRIVATE ISSUER PURSUANT TO RULE 13a-16 OR 15d-16 UNDER THE SECURITIES EXCHANGE ACT OF 1934</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For the month of August, 2026</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001-37891</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2"/>
        </w:rPr>
      </w:pPr>
      <w:r>
        <w:rPr>
          <w:rFonts w:ascii="Times New Roman;Times;serif" w:hAnsi="Times New Roman;Times;serif"/>
          <w:b/>
          <w:sz w:val="32"/>
        </w:rPr>
        <w:t>AC IMMUNE SA</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EPFL Innovation Park</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Building B</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1015 Lausanne, Switzerland</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Indicate by check mark whether the registrant files or will file annual reports under cover of Form 20-F or Form 40-F.</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firstLine="360"/>
        <w:jc w:val="center"/>
        <w:rPr>
          <w:rFonts w:ascii="Times New Roman;Times;serif" w:hAnsi="Times New Roman;Times;serif"/>
          <w:sz w:val="20"/>
        </w:rPr>
      </w:pPr>
      <w:r>
        <w:rPr>
          <w:rFonts w:ascii="Times New Roman;Times;serif" w:hAnsi="Times New Roman;Times;serif"/>
          <w:sz w:val="20"/>
        </w:rPr>
        <w:t>Form 20-F ☒     Form 40-F ☐</w:t>
      </w:r>
    </w:p>
    <w:p>
      <w:pPr>
        <w:pStyle w:val="TextBody"/>
        <w:bidi w:val="0"/>
        <w:spacing w:lineRule="auto" w:line="285" w:before="0" w:after="240"/>
        <w:ind w:left="0" w:right="0" w:hanging="0"/>
        <w:jc w:val="center"/>
        <w:rPr/>
      </w:pPr>
      <w:r>
        <w:rPr/>
        <w:t>​</w:t>
      </w:r>
    </w:p>
    <w:p>
      <w:pPr>
        <w:pStyle w:val="TextBody"/>
        <w:pBdr>
          <w:top w:val="single" w:sz="8" w:space="1" w:color="000000"/>
          <w:bottom w:val="single" w:sz="24" w:space="1" w:color="000000"/>
        </w:pBdr>
        <w:bidi w:val="0"/>
        <w:spacing w:lineRule="auto" w:line="285" w:before="0" w:after="240"/>
        <w:ind w:left="0" w:right="0" w:hanging="0"/>
        <w:jc w:val="center"/>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August 20, 2026, AC Immune SA issued a press release reporting positive preliminary results from a Phase 1 first-in-human clinical study evaluating ACI-19764, its wholly-owned, orally administered small molecule inhibitor of the NLRP3 inflammasome. A copy of the press release is attached as Exhibit 99.1 to this Report on Form 6-K.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360"/>
        <w:jc w:val="both"/>
        <w:rPr/>
      </w:pPr>
      <w:r>
        <w:rPr/>
        <w:t>​</w:t>
      </w:r>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EXHIBIT INDEX</w:t>
      </w:r>
    </w:p>
    <w:p>
      <w:pPr>
        <w:pStyle w:val="TextBody"/>
        <w:bidi w:val="0"/>
        <w:spacing w:lineRule="auto" w:line="285" w:before="0" w:after="240"/>
        <w:ind w:left="0" w:right="0" w:hanging="0"/>
        <w:jc w:val="both"/>
        <w:rPr/>
      </w:pPr>
      <w:r>
        <w:rPr/>
        <w:t>​</w:t>
      </w:r>
    </w:p>
    <w:tbl>
      <w:tblPr>
        <w:tblW w:w="4173" w:type="dxa"/>
        <w:jc w:val="left"/>
        <w:tblInd w:w="0" w:type="dxa"/>
        <w:tblLayout w:type="fixed"/>
        <w:tblCellMar>
          <w:top w:w="0" w:type="dxa"/>
          <w:left w:w="0" w:type="dxa"/>
          <w:bottom w:w="0" w:type="dxa"/>
          <w:right w:w="0" w:type="dxa"/>
        </w:tblCellMar>
      </w:tblPr>
      <w:tblGrid>
        <w:gridCol w:w="706"/>
        <w:gridCol w:w="346"/>
        <w:gridCol w:w="3121"/>
      </w:tblGrid>
      <w:tr>
        <w:trPr/>
        <w:tc>
          <w:tcPr>
            <w:tcW w:w="70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121" w:type="dxa"/>
            <w:tcBorders/>
            <w:vAlign w:val="center"/>
          </w:tcPr>
          <w:p>
            <w:pPr>
              <w:pStyle w:val="TableContents"/>
              <w:bidi w:val="0"/>
              <w:spacing w:lineRule="auto" w:line="285" w:before="0" w:after="0"/>
              <w:ind w:left="0" w:right="0" w:hanging="0"/>
              <w:jc w:val="left"/>
              <w:rPr/>
            </w:pPr>
            <w:r>
              <w:rPr/>
              <w:t>​</w:t>
            </w:r>
          </w:p>
        </w:tc>
      </w:tr>
      <w:tr>
        <w:trPr/>
        <w:tc>
          <w:tcPr>
            <w:tcW w:w="70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vAlign w:val="center"/>
          </w:tcPr>
          <w:p>
            <w:pPr>
              <w:pStyle w:val="TableContents"/>
              <w:bidi w:val="0"/>
              <w:spacing w:lineRule="auto" w:line="285" w:before="0" w:after="0"/>
              <w:ind w:left="0" w:right="0" w:hanging="0"/>
              <w:jc w:val="left"/>
              <w:rPr/>
            </w:pPr>
            <w:r>
              <w:rPr/>
              <w:t>  ​ ​ ​</w:t>
            </w:r>
          </w:p>
        </w:tc>
        <w:tc>
          <w:tcPr>
            <w:tcW w:w="312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70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lineRule="auto" w:line="285" w:before="0" w:after="0"/>
              <w:ind w:left="0" w:right="0" w:hanging="0"/>
              <w:jc w:val="left"/>
              <w:rPr/>
            </w:pPr>
            <w:r>
              <w:rPr/>
              <w:t>​</w:t>
            </w:r>
          </w:p>
        </w:tc>
        <w:tc>
          <w:tcPr>
            <w:tcW w:w="3121" w:type="dxa"/>
            <w:tcBorders/>
            <w:vAlign w:val="center"/>
          </w:tcPr>
          <w:p>
            <w:pPr>
              <w:pStyle w:val="TableContents"/>
              <w:bidi w:val="0"/>
              <w:spacing w:lineRule="auto" w:line="285" w:before="0" w:after="0"/>
              <w:ind w:left="0" w:right="0" w:hanging="0"/>
              <w:jc w:val="left"/>
              <w:rPr/>
            </w:pPr>
            <w:hyperlink w:anchor="aciu-20260820xex99d1.htm">
              <w:r>
                <w:rPr>
                  <w:rStyle w:val="InternetLink"/>
                  <w:rFonts w:ascii="Times New Roman;Times;serif" w:hAnsi="Times New Roman;Times;serif"/>
                  <w:b w:val="false"/>
                  <w:i w:val="false"/>
                  <w:caps w:val="false"/>
                  <w:smallCaps w:val="false"/>
                  <w:sz w:val="20"/>
                </w:rPr>
                <w:t>Press Release dated August 20, 2026</w:t>
              </w:r>
            </w:hyperlink>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36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SIGNATURE</w:t>
      </w:r>
    </w:p>
    <w:p>
      <w:pPr>
        <w:pStyle w:val="TextBody"/>
        <w:bidi w:val="0"/>
        <w:spacing w:lineRule="auto" w:line="285" w:before="0" w:after="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5" w:before="0" w:after="240"/>
        <w:ind w:left="0" w:right="0" w:hanging="0"/>
        <w:jc w:val="center"/>
        <w:rPr/>
      </w:pPr>
      <w:r>
        <w:rPr/>
        <w:t>​</w:t>
      </w:r>
    </w:p>
    <w:tbl>
      <w:tblPr>
        <w:tblW w:w="5868" w:type="dxa"/>
        <w:jc w:val="left"/>
        <w:tblInd w:w="0" w:type="dxa"/>
        <w:tblLayout w:type="fixed"/>
        <w:tblCellMar>
          <w:top w:w="0" w:type="dxa"/>
          <w:left w:w="0" w:type="dxa"/>
          <w:bottom w:w="0" w:type="dxa"/>
          <w:right w:w="0" w:type="dxa"/>
        </w:tblCellMar>
      </w:tblPr>
      <w:tblGrid>
        <w:gridCol w:w="2131"/>
        <w:gridCol w:w="406"/>
        <w:gridCol w:w="3331"/>
      </w:tblGrid>
      <w:tr>
        <w:trPr/>
        <w:tc>
          <w:tcPr>
            <w:tcW w:w="213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pPr>
            <w:r>
              <w:rPr/>
              <w:t>​</w:t>
            </w:r>
          </w:p>
        </w:tc>
      </w:tr>
      <w:tr>
        <w:trPr/>
        <w:tc>
          <w:tcPr>
            <w:tcW w:w="2131" w:type="dxa"/>
            <w:tcBorders/>
            <w:vAlign w:val="center"/>
          </w:tcPr>
          <w:p>
            <w:pPr>
              <w:pStyle w:val="TableContents"/>
              <w:bidi w:val="0"/>
              <w:spacing w:lineRule="auto" w:line="285" w:before="0" w:after="0"/>
              <w:ind w:left="0" w:right="0" w:hanging="0"/>
              <w:jc w:val="left"/>
              <w:rPr/>
            </w:pPr>
            <w:bookmarkStart w:id="2" w:name="_Hlk114779092"/>
            <w:bookmarkEnd w:id="2"/>
            <w:r>
              <w:rPr/>
              <w:t>​</w:t>
            </w:r>
          </w:p>
        </w:tc>
        <w:tc>
          <w:tcPr>
            <w:tcW w:w="3737"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AC IMMUNE SA</w:t>
            </w:r>
          </w:p>
        </w:tc>
      </w:tr>
      <w:tr>
        <w:trPr/>
        <w:tc>
          <w:tcPr>
            <w:tcW w:w="2131" w:type="dxa"/>
            <w:tcBorders/>
            <w:vAlign w:val="center"/>
          </w:tcPr>
          <w:p>
            <w:pPr>
              <w:pStyle w:val="TableContents"/>
              <w:bidi w:val="0"/>
              <w:spacing w:lineRule="auto" w:line="285" w:before="0" w:after="0"/>
              <w:ind w:left="0" w:right="0" w:hanging="0"/>
              <w:jc w:val="left"/>
              <w:rPr/>
            </w:pPr>
            <w:r>
              <w:rPr/>
              <w:t>​</w:t>
            </w:r>
          </w:p>
        </w:tc>
        <w:tc>
          <w:tcPr>
            <w:tcW w:w="3737" w:type="dxa"/>
            <w:gridSpan w:val="2"/>
            <w:tcBorders/>
            <w:vAlign w:val="center"/>
          </w:tcPr>
          <w:p>
            <w:pPr>
              <w:pStyle w:val="TableContents"/>
              <w:bidi w:val="0"/>
              <w:spacing w:lineRule="auto" w:line="285" w:before="0" w:after="0"/>
              <w:ind w:left="0" w:right="0" w:hanging="0"/>
              <w:jc w:val="left"/>
              <w:rPr/>
            </w:pPr>
            <w:r>
              <w:rPr/>
              <w:t>​</w:t>
            </w:r>
          </w:p>
        </w:tc>
      </w:tr>
      <w:tr>
        <w:trPr/>
        <w:tc>
          <w:tcPr>
            <w:tcW w:w="213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Martin Zuegel</w:t>
            </w:r>
          </w:p>
        </w:tc>
      </w:tr>
      <w:tr>
        <w:trPr/>
        <w:tc>
          <w:tcPr>
            <w:tcW w:w="213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  Martin Zuegel</w:t>
            </w:r>
          </w:p>
        </w:tc>
      </w:tr>
      <w:tr>
        <w:trPr/>
        <w:tc>
          <w:tcPr>
            <w:tcW w:w="213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    Interim Chief Executive Officer</w:t>
            </w:r>
          </w:p>
        </w:tc>
      </w:tr>
      <w:tr>
        <w:trPr/>
        <w:tc>
          <w:tcPr>
            <w:tcW w:w="213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pPr>
            <w:r>
              <w:rPr/>
              <w:t>​</w:t>
            </w:r>
          </w:p>
        </w:tc>
      </w:tr>
      <w:tr>
        <w:trPr/>
        <w:tc>
          <w:tcPr>
            <w:tcW w:w="213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pPr>
            <w:r>
              <w:rPr/>
              <w:t>​</w:t>
            </w:r>
          </w:p>
        </w:tc>
      </w:tr>
      <w:tr>
        <w:trPr/>
        <w:tc>
          <w:tcPr>
            <w:tcW w:w="213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Christopher Roberts</w:t>
            </w:r>
          </w:p>
        </w:tc>
      </w:tr>
      <w:tr>
        <w:trPr/>
        <w:tc>
          <w:tcPr>
            <w:tcW w:w="213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  Christopher Roberts</w:t>
            </w:r>
          </w:p>
        </w:tc>
      </w:tr>
      <w:tr>
        <w:trPr/>
        <w:tc>
          <w:tcPr>
            <w:tcW w:w="213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r>
        <w:trPr/>
        <w:tc>
          <w:tcPr>
            <w:tcW w:w="213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pPr>
            <w:r>
              <w:rPr/>
              <w:t>​</w:t>
            </w:r>
          </w:p>
        </w:tc>
      </w:tr>
      <w:tr>
        <w:trPr/>
        <w:tc>
          <w:tcPr>
            <w:tcW w:w="21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20, 2026</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ptos" w:hAnsi="Aptos"/>
          <w:b/>
          <w:sz w:val="22"/>
        </w:rPr>
      </w:pPr>
      <w:bookmarkStart w:id="3" w:name="aciu-20260820xex99d1.htm"/>
      <w:bookmarkStart w:id="4" w:name="ksaciu20260820xex99d1"/>
      <w:bookmarkEnd w:id="3"/>
      <w:bookmarkEnd w:id="4"/>
      <w:r>
        <w:rPr>
          <w:rFonts w:ascii="Aptos" w:hAnsi="Aptos"/>
          <w:b/>
          <w:sz w:val="22"/>
        </w:rPr>
        <w:t>Exhibit 99.1</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right"/>
        <w:rPr>
          <w:rFonts w:ascii="Aptos" w:hAnsi="Aptos"/>
          <w:b/>
          <w:sz w:val="22"/>
        </w:rPr>
      </w:pPr>
      <w:r>
        <w:rPr>
          <w:rFonts w:ascii="Aptos" w:hAnsi="Aptos"/>
          <w:b/>
          <w:sz w:val="22"/>
        </w:rPr>
        <w:t>PRESS RELEASE</w:t>
      </w:r>
      <w:r>
        <mc:AlternateContent>
          <mc:Choice Requires="wps">
            <w:drawing>
              <wp:anchor behindDoc="0" distT="0" distB="0" distL="0" distR="114300" simplePos="0" locked="0" layoutInCell="1" allowOverlap="1" relativeHeight="2">
                <wp:simplePos x="0" y="0"/>
                <wp:positionH relativeFrom="column">
                  <wp:align>left</wp:align>
                </wp:positionH>
                <wp:positionV relativeFrom="line">
                  <wp:posOffset>635</wp:posOffset>
                </wp:positionV>
                <wp:extent cx="1971040" cy="614680"/>
                <wp:effectExtent l="0" t="0" r="0" b="0"/>
                <wp:wrapSquare wrapText="right"/>
                <wp:docPr id="1" name="Frame1"/>
                <a:graphic xmlns:a="http://schemas.openxmlformats.org/drawingml/2006/main">
                  <a:graphicData uri="http://schemas.microsoft.com/office/word/2010/wordprocessingShape">
                    <wps:wsp>
                      <wps:cNvSpPr txBox="1"/>
                      <wps:spPr>
                        <a:xfrm>
                          <a:off x="0" y="0"/>
                          <a:ext cx="1971040" cy="614680"/>
                        </a:xfrm>
                        <a:prstGeom prst="rect"/>
                        <a:solidFill>
                          <a:srgbClr val="FFFFFF"/>
                        </a:solidFill>
                      </wps:spPr>
                      <wps:txbx>
                        <w:txbxContent>
                          <w:p>
                            <w:pPr>
                              <w:pStyle w:val="TextBody"/>
                              <w:bidi w:val="0"/>
                              <w:spacing w:before="0" w:after="0"/>
                              <w:jc w:val="left"/>
                              <w:rPr/>
                            </w:pPr>
                            <w:r>
                              <w:rPr/>
                              <w:drawing>
                                <wp:inline distT="0" distB="0" distL="0" distR="0">
                                  <wp:extent cx="1971040" cy="61468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971040" cy="61468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55.2pt;height:48.4pt;mso-wrap-distance-left:0pt;mso-wrap-distance-right:9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971040" cy="61468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3"/>
                                    <a:stretch>
                                      <a:fillRect/>
                                    </a:stretch>
                                  </pic:blipFill>
                                  <pic:spPr bwMode="auto">
                                    <a:xfrm>
                                      <a:off x="0" y="0"/>
                                      <a:ext cx="1971040" cy="614680"/>
                                    </a:xfrm>
                                    <a:prstGeom prst="rect">
                                      <a:avLst/>
                                    </a:prstGeom>
                                  </pic:spPr>
                                </pic:pic>
                              </a:graphicData>
                            </a:graphic>
                          </wp:inline>
                        </w:drawing>
                      </w:r>
                    </w:p>
                  </w:txbxContent>
                </v:textbox>
                <w10:wrap type="square" side="right"/>
              </v:rect>
            </w:pict>
          </mc:Fallback>
        </mc:AlternateContent>
      </w:r>
    </w:p>
    <w:p>
      <w:pPr>
        <w:pStyle w:val="TextBody"/>
        <w:bidi w:val="0"/>
        <w:spacing w:lineRule="auto" w:line="285" w:before="0" w:after="0"/>
        <w:ind w:left="0" w:right="0" w:hanging="0"/>
        <w:jc w:val="left"/>
        <w:rPr/>
      </w:pPr>
      <w:r>
        <w:rPr/>
        <w:t>​</w:t>
      </w:r>
    </w:p>
    <w:p>
      <w:pPr>
        <w:pStyle w:val="TextBody"/>
        <w:bidi w:val="0"/>
        <w:spacing w:lineRule="auto" w:line="307" w:before="0" w:after="160"/>
        <w:ind w:left="0" w:right="0" w:hanging="0"/>
        <w:jc w:val="center"/>
        <w:rPr/>
      </w:pPr>
      <w:r>
        <w:rPr/>
        <w:t>​</w:t>
      </w:r>
    </w:p>
    <w:p>
      <w:pPr>
        <w:pStyle w:val="TextBody"/>
        <w:bidi w:val="0"/>
        <w:spacing w:lineRule="auto" w:line="429" w:before="0" w:after="0"/>
        <w:ind w:left="720" w:right="0" w:hanging="0"/>
        <w:jc w:val="center"/>
        <w:rPr>
          <w:rFonts w:ascii="Arial;Helvetica;sans-serif" w:hAnsi="Arial;Helvetica;sans-serif"/>
          <w:b/>
          <w:sz w:val="28"/>
        </w:rPr>
      </w:pPr>
      <w:bookmarkStart w:id="5" w:name="_Hlk195778772"/>
      <w:bookmarkEnd w:id="5"/>
      <w:r>
        <w:rPr>
          <w:rFonts w:ascii="Arial;Helvetica;sans-serif" w:hAnsi="Arial;Helvetica;sans-serif"/>
          <w:b/>
          <w:sz w:val="28"/>
        </w:rPr>
        <w:t>AC Immune Announces Positive Preliminary Phase 1 Data for NLRP3 Inhibitor ACI-19764</w:t>
      </w:r>
    </w:p>
    <w:p>
      <w:pPr>
        <w:pStyle w:val="TextBody"/>
        <w:bidi w:val="0"/>
        <w:spacing w:lineRule="auto" w:line="343" w:before="0" w:after="0"/>
        <w:ind w:left="0" w:right="0" w:hanging="0"/>
        <w:jc w:val="left"/>
        <w:rPr/>
      </w:pPr>
      <w:r>
        <w:rPr/>
        <w:t>●</w:t>
      </w:r>
      <w:r>
        <w:rPr>
          <w:rFonts w:ascii="Arial;Helvetica;sans-serif" w:hAnsi="Arial;Helvetica;sans-serif"/>
          <w:i/>
          <w:sz w:val="20"/>
        </w:rPr>
        <w:t xml:space="preserve">ACI-19764 is an orally available inhibitor of the NLRP3 inflammasome </w:t>
      </w:r>
    </w:p>
    <w:p>
      <w:pPr>
        <w:pStyle w:val="TextBody"/>
        <w:bidi w:val="0"/>
        <w:spacing w:lineRule="auto" w:line="343" w:before="0" w:after="0"/>
        <w:ind w:left="0" w:right="0" w:hanging="0"/>
        <w:jc w:val="left"/>
        <w:rPr/>
      </w:pPr>
      <w:r>
        <w:rPr/>
        <w:t>●</w:t>
      </w:r>
      <w:r>
        <w:rPr>
          <w:rFonts w:ascii="Arial;Helvetica;sans-serif" w:hAnsi="Arial;Helvetica;sans-serif"/>
          <w:i/>
          <w:sz w:val="20"/>
        </w:rPr>
        <w:t>Preliminary data showed ACI-19764 was safe and well tolerated across single and multiple ascending dose cohorts with confirmed CSF penetration</w:t>
      </w:r>
    </w:p>
    <w:p>
      <w:pPr>
        <w:pStyle w:val="TextBody"/>
        <w:bidi w:val="0"/>
        <w:spacing w:lineRule="auto" w:line="343" w:before="0" w:after="0"/>
        <w:ind w:left="0" w:right="0" w:hanging="0"/>
        <w:jc w:val="left"/>
        <w:rPr/>
      </w:pPr>
      <w:r>
        <w:rPr/>
        <w:t>●</w:t>
      </w:r>
      <w:r>
        <w:rPr>
          <w:rFonts w:ascii="Arial;Helvetica;sans-serif" w:hAnsi="Arial;Helvetica;sans-serif"/>
          <w:i/>
          <w:sz w:val="20"/>
        </w:rPr>
        <w:t>Based on PK data the therapeutic dose is expected to be ≤10mg once daily</w:t>
      </w:r>
    </w:p>
    <w:p>
      <w:pPr>
        <w:pStyle w:val="TextBody"/>
        <w:bidi w:val="0"/>
        <w:spacing w:lineRule="auto" w:line="343" w:before="0" w:after="0"/>
        <w:ind w:left="0" w:right="0" w:hanging="0"/>
        <w:jc w:val="left"/>
        <w:rPr/>
      </w:pPr>
      <w:r>
        <w:rPr/>
        <w:t>●</w:t>
      </w:r>
      <w:r>
        <w:rPr>
          <w:rFonts w:ascii="Arial;Helvetica;sans-serif" w:hAnsi="Arial;Helvetica;sans-serif"/>
          <w:i/>
          <w:sz w:val="20"/>
        </w:rPr>
        <w:t>To rapidly evaluate the anti-inflammatory activity of ACI-19764 (effect on hsCRP), dosing of a cardiovascular risk cohort is now underway with initial results expected by year end</w:t>
      </w:r>
    </w:p>
    <w:p>
      <w:pPr>
        <w:pStyle w:val="TextBody"/>
        <w:bidi w:val="0"/>
        <w:spacing w:lineRule="auto" w:line="343"/>
        <w:ind w:left="0" w:right="0" w:hanging="0"/>
        <w:jc w:val="left"/>
        <w:rPr/>
      </w:pPr>
      <w:r>
        <w:rPr/>
        <w:t>●</w:t>
      </w:r>
      <w:r>
        <w:rPr>
          <w:rFonts w:ascii="Arial;Helvetica;sans-serif" w:hAnsi="Arial;Helvetica;sans-serif"/>
          <w:i/>
          <w:sz w:val="20"/>
        </w:rPr>
        <w:t>Full results from the Phase 1/1b trial are expected in H1 2027</w:t>
      </w:r>
    </w:p>
    <w:p>
      <w:pPr>
        <w:pStyle w:val="TextBody"/>
        <w:bidi w:val="0"/>
        <w:spacing w:lineRule="auto" w:line="307" w:before="0" w:after="160"/>
        <w:ind w:left="0" w:right="0" w:hanging="0"/>
        <w:jc w:val="left"/>
        <w:rPr/>
      </w:pPr>
      <w:r>
        <w:rPr/>
        <w:t>​</w:t>
      </w:r>
    </w:p>
    <w:p>
      <w:pPr>
        <w:pStyle w:val="TextBody"/>
        <w:bidi w:val="0"/>
        <w:spacing w:lineRule="auto" w:line="379" w:before="0" w:after="160"/>
        <w:ind w:left="0" w:right="0" w:hanging="0"/>
        <w:jc w:val="both"/>
        <w:rPr>
          <w:rFonts w:ascii="Aptos" w:hAnsi="Aptos"/>
          <w:sz w:val="20"/>
        </w:rPr>
      </w:pPr>
      <w:r>
        <w:rPr>
          <w:rFonts w:ascii="Arial;Helvetica;sans-serif" w:hAnsi="Arial;Helvetica;sans-serif"/>
          <w:b/>
          <w:sz w:val="20"/>
        </w:rPr>
        <w:t>Lausanne, Switzerland, August 20 2026</w:t>
      </w:r>
      <w:r>
        <w:rPr>
          <w:rFonts w:ascii="Aptos" w:hAnsi="Aptos"/>
          <w:sz w:val="20"/>
        </w:rPr>
        <w:t xml:space="preserve"> – </w:t>
      </w:r>
      <w:r>
        <w:rPr>
          <w:rFonts w:ascii="Arial;Helvetica;sans-serif" w:hAnsi="Arial;Helvetica;sans-serif"/>
          <w:sz w:val="20"/>
        </w:rPr>
        <w:t>AC Immune SA (NASDAQ: ACIU), a clinical-stage biopharmaceutical company developing targeted therapeutics for neurodegenerative diseases, today announced positive interim results from a Phase 1 first-in-human clinical study evaluating ACI-19764, its wholly-owned, orally administered small molecule inhibitor of the NLRP3 inflammasome.</w:t>
      </w:r>
    </w:p>
    <w:p>
      <w:pPr>
        <w:pStyle w:val="TextBody"/>
        <w:bidi w:val="0"/>
        <w:spacing w:lineRule="auto" w:line="379" w:before="0" w:after="160"/>
        <w:ind w:left="0" w:right="0" w:hanging="0"/>
        <w:jc w:val="both"/>
        <w:rPr>
          <w:rFonts w:ascii="Arial;Helvetica;sans-serif" w:hAnsi="Arial;Helvetica;sans-serif"/>
          <w:sz w:val="20"/>
        </w:rPr>
      </w:pPr>
      <w:r>
        <w:rPr>
          <w:rFonts w:ascii="Arial;Helvetica;sans-serif" w:hAnsi="Arial;Helvetica;sans-serif"/>
          <w:sz w:val="20"/>
        </w:rPr>
        <w:t>The Phase 1 study is investigating the safety, tolerability, pharmacokinetics (PK), and pharmacodynamics of ACI-19764 in healthy volunteers in Europe. Preliminary results demonstrate that ACI-19764 was safe and well-tolerated to date across both single ascending dose (SAD) and multiple ascending dose (MAD) cohorts, including doses up to 20mg per day (SAD), with a serum half-life greater than 30 hours. There have been no serious adverse events to date and no treatment withdrawals. Clear evidence of brain penetration was observed based on cerebrospinal fluid (CSF) exposure. Daily doses ≤10mg achieved PK concentrations above the IC90 and blinded review of whole blood assay data showed dose dependent inhibition of IL-1beta release.</w:t>
      </w:r>
    </w:p>
    <w:p>
      <w:pPr>
        <w:pStyle w:val="TextBody"/>
        <w:bidi w:val="0"/>
        <w:spacing w:lineRule="auto" w:line="379" w:before="0" w:after="160"/>
        <w:ind w:left="0" w:right="0" w:hanging="0"/>
        <w:jc w:val="both"/>
        <w:rPr>
          <w:rFonts w:ascii="Arial;Helvetica;sans-serif" w:hAnsi="Arial;Helvetica;sans-serif"/>
          <w:sz w:val="20"/>
        </w:rPr>
      </w:pPr>
      <w:r>
        <w:rPr>
          <w:rFonts w:ascii="Arial;Helvetica;sans-serif" w:hAnsi="Arial;Helvetica;sans-serif"/>
          <w:sz w:val="20"/>
        </w:rPr>
        <w:t xml:space="preserve">The trial has now commenced dosing of first patients with cardiovascular disease risk, as determined by elevated serum levels of high-sensitivity C-reactive protein (hsCRP) and the presence of either type 2 diabetes and/or obesity. Recruitment of this Phase 1b cohort is ongoing and initial results are expected before year end. </w:t>
      </w:r>
    </w:p>
    <w:p>
      <w:pPr>
        <w:pStyle w:val="TextBody"/>
        <w:pBdr/>
        <w:bidi w:val="0"/>
        <w:spacing w:lineRule="auto" w:line="379" w:before="0" w:after="0"/>
        <w:ind w:left="0" w:right="0" w:hanging="0"/>
        <w:jc w:val="both"/>
        <w:rPr>
          <w:rFonts w:ascii="Aptos" w:hAnsi="Aptos"/>
          <w:sz w:val="20"/>
        </w:rPr>
      </w:pPr>
      <w:r>
        <w:rPr>
          <w:rFonts w:ascii="Arial;Helvetica;sans-serif" w:hAnsi="Arial;Helvetica;sans-serif"/>
          <w:b/>
          <w:sz w:val="20"/>
        </w:rPr>
        <w:t>Martin Zügel, interim CEO of</w:t>
      </w:r>
      <w:r>
        <w:rPr>
          <w:rFonts w:ascii="Aptos" w:hAnsi="Aptos"/>
          <w:sz w:val="20"/>
        </w:rPr>
        <w:t> </w:t>
      </w:r>
      <w:r>
        <w:rPr>
          <w:rFonts w:ascii="Arial;Helvetica;sans-serif" w:hAnsi="Arial;Helvetica;sans-serif"/>
          <w:b/>
          <w:sz w:val="20"/>
        </w:rPr>
        <w:t>AC Immune SA, commented:</w:t>
      </w:r>
      <w:r>
        <w:rPr>
          <w:rFonts w:ascii="Aptos" w:hAnsi="Aptos"/>
          <w:sz w:val="20"/>
        </w:rPr>
        <w:t> “</w:t>
      </w:r>
      <w:r>
        <w:rPr>
          <w:rFonts w:ascii="Arial;Helvetica;sans-serif" w:hAnsi="Arial;Helvetica;sans-serif"/>
          <w:i/>
          <w:sz w:val="20"/>
        </w:rPr>
        <w:t>These first-in-human data for ACI-19764 are encouraging, and represent not only an important milestone for this program, but also the wider clinical momentum of our wholly-owned programs. Based on these preliminary results, and previous preclinical studies, we are now poised to deliver key clinical evidence of anti-inflammatory activity (hsCRP inhibition) in the coming months. We believe ACI-19764 has the potential to be a powerful NLRP3 inhibitor, and we look forward to further exploring its therapeutic potential.”</w:t>
      </w:r>
    </w:p>
    <w:p>
      <w:pPr>
        <w:pStyle w:val="TextBody"/>
        <w:shd w:fill="FFFFFF" w:val="clear"/>
        <w:bidi w:val="0"/>
        <w:spacing w:lineRule="auto" w:line="379" w:before="0" w:after="160"/>
        <w:ind w:left="0" w:right="0" w:hanging="0"/>
        <w:jc w:val="both"/>
        <w:rPr>
          <w:rFonts w:ascii="Times New Roman;Times;serif" w:hAnsi="Times New Roman;Times;serif"/>
          <w:sz w:val="20"/>
        </w:rPr>
      </w:pPr>
      <w:r>
        <w:rPr>
          <w:rFonts w:ascii="Arial;Helvetica;sans-serif" w:hAnsi="Arial;Helvetica;sans-serif"/>
          <w:b/>
          <w:sz w:val="20"/>
        </w:rPr>
        <w:t>Francesca Capotosti, Senior Vice President, Research at AC Immune SA, commented: </w:t>
      </w:r>
      <w:r>
        <w:rPr>
          <w:rFonts w:ascii="Times New Roman;Times;serif" w:hAnsi="Times New Roman;Times;serif"/>
          <w:sz w:val="20"/>
        </w:rPr>
        <w:t>“</w:t>
      </w:r>
      <w:r>
        <w:rPr>
          <w:rFonts w:ascii="Arial;Helvetica;sans-serif" w:hAnsi="Arial;Helvetica;sans-serif"/>
          <w:i/>
          <w:sz w:val="20"/>
        </w:rPr>
        <w:t>Chronic inflammation causes or exacerbates many different conditions, including CNS diseases, and with ACI-19764 we are able to precisely target the intracellular NLRP3 complex to inhibit the production of potentially harmful downstream pro-inflammatory factors.</w:t>
      </w:r>
      <w:r>
        <w:rPr>
          <w:rFonts w:ascii="Times New Roman;Times;serif" w:hAnsi="Times New Roman;Times;serif"/>
          <w:sz w:val="20"/>
        </w:rPr>
        <w:t xml:space="preserve">” </w:t>
      </w:r>
    </w:p>
    <w:p>
      <w:pPr>
        <w:pStyle w:val="TextBody"/>
        <w:pBdr/>
        <w:bidi w:val="0"/>
        <w:spacing w:lineRule="auto" w:line="379" w:before="0" w:after="0"/>
        <w:ind w:left="0" w:right="0" w:hanging="0"/>
        <w:jc w:val="both"/>
        <w:rPr>
          <w:rFonts w:ascii="Aptos" w:hAnsi="Aptos"/>
          <w:sz w:val="20"/>
        </w:rPr>
      </w:pPr>
      <w:r>
        <w:rPr>
          <w:rFonts w:ascii="Arial;Helvetica;sans-serif" w:hAnsi="Arial;Helvetica;sans-serif"/>
          <w:b/>
          <w:sz w:val="20"/>
        </w:rPr>
        <w:t>Kirsten Scott, Clinical Lead at AC Immune SA, commented: </w:t>
      </w:r>
      <w:r>
        <w:rPr>
          <w:rFonts w:ascii="Aptos" w:hAnsi="Aptos"/>
          <w:sz w:val="20"/>
        </w:rPr>
        <w:t>“</w:t>
      </w:r>
      <w:r>
        <w:rPr>
          <w:rFonts w:ascii="Arial;Helvetica;sans-serif" w:hAnsi="Arial;Helvetica;sans-serif"/>
          <w:i/>
          <w:sz w:val="20"/>
        </w:rPr>
        <w:t>NLRP3 inhibitors are a growing modality, and with such a wide range of potential therapeutic applications in neurodegenerative diseases and beyond, we are optimistic that ACI-19764 can represent a transformational treatment option for patients with unmet medical needs.”</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ptos" w:hAnsi="Aptos"/>
          <w:b/>
          <w:sz w:val="22"/>
        </w:rPr>
      </w:pPr>
      <w:r>
        <w:rPr>
          <w:rFonts w:ascii="Aptos" w:hAnsi="Aptos"/>
          <w:b/>
          <w:sz w:val="22"/>
        </w:rPr>
        <w:t>Exhibit 99.1</w:t>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right"/>
        <w:rPr>
          <w:rFonts w:ascii="Aptos" w:hAnsi="Aptos"/>
          <w:b/>
          <w:sz w:val="22"/>
        </w:rPr>
      </w:pPr>
      <w:r>
        <w:rPr>
          <w:rFonts w:ascii="Aptos" w:hAnsi="Aptos"/>
          <w:b/>
          <w:sz w:val="22"/>
        </w:rPr>
        <w:t>PRESS RELEASE</w:t>
      </w:r>
      <w:r>
        <mc:AlternateContent>
          <mc:Choice Requires="wps">
            <w:drawing>
              <wp:anchor behindDoc="0" distT="0" distB="0" distL="0" distR="114300" simplePos="0" locked="0" layoutInCell="1" allowOverlap="1" relativeHeight="4">
                <wp:simplePos x="0" y="0"/>
                <wp:positionH relativeFrom="column">
                  <wp:align>left</wp:align>
                </wp:positionH>
                <wp:positionV relativeFrom="line">
                  <wp:posOffset>635</wp:posOffset>
                </wp:positionV>
                <wp:extent cx="1971040" cy="614680"/>
                <wp:effectExtent l="0" t="0" r="0" b="0"/>
                <wp:wrapSquare wrapText="right"/>
                <wp:docPr id="4" name="Frame2"/>
                <a:graphic xmlns:a="http://schemas.openxmlformats.org/drawingml/2006/main">
                  <a:graphicData uri="http://schemas.microsoft.com/office/word/2010/wordprocessingShape">
                    <wps:wsp>
                      <wps:cNvSpPr txBox="1"/>
                      <wps:spPr>
                        <a:xfrm>
                          <a:off x="0" y="0"/>
                          <a:ext cx="1971040" cy="614680"/>
                        </a:xfrm>
                        <a:prstGeom prst="rect"/>
                        <a:solidFill>
                          <a:srgbClr val="FFFFFF"/>
                        </a:solidFill>
                      </wps:spPr>
                      <wps:txbx>
                        <w:txbxContent>
                          <w:p>
                            <w:pPr>
                              <w:pStyle w:val="TextBody"/>
                              <w:bidi w:val="0"/>
                              <w:spacing w:before="0" w:after="0"/>
                              <w:jc w:val="left"/>
                              <w:rPr/>
                            </w:pPr>
                            <w:r>
                              <w:rPr/>
                              <w:drawing>
                                <wp:inline distT="0" distB="0" distL="0" distR="0">
                                  <wp:extent cx="1971040" cy="61468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1971040" cy="61468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55.2pt;height:48.4pt;mso-wrap-distance-left:0pt;mso-wrap-distance-right:9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971040" cy="61468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5"/>
                                    <a:stretch>
                                      <a:fillRect/>
                                    </a:stretch>
                                  </pic:blipFill>
                                  <pic:spPr bwMode="auto">
                                    <a:xfrm>
                                      <a:off x="0" y="0"/>
                                      <a:ext cx="1971040" cy="614680"/>
                                    </a:xfrm>
                                    <a:prstGeom prst="rect">
                                      <a:avLst/>
                                    </a:prstGeom>
                                  </pic:spPr>
                                </pic:pic>
                              </a:graphicData>
                            </a:graphic>
                          </wp:inline>
                        </w:drawing>
                      </w:r>
                    </w:p>
                  </w:txbxContent>
                </v:textbox>
                <w10:wrap type="square" side="right"/>
              </v:rect>
            </w:pict>
          </mc:Fallback>
        </mc:AlternateContent>
      </w:r>
    </w:p>
    <w:p>
      <w:pPr>
        <w:pStyle w:val="TextBody"/>
        <w:bidi w:val="0"/>
        <w:spacing w:lineRule="auto" w:line="285" w:before="0" w:after="0"/>
        <w:ind w:left="0" w:right="0" w:hanging="0"/>
        <w:jc w:val="left"/>
        <w:rPr/>
      </w:pPr>
      <w:r>
        <w:rPr/>
        <w:t>​</w:t>
      </w:r>
    </w:p>
    <w:p>
      <w:pPr>
        <w:pStyle w:val="TextBody"/>
        <w:shd w:fill="FFFFFF" w:val="clear"/>
        <w:bidi w:val="0"/>
        <w:spacing w:lineRule="auto" w:line="285" w:before="0" w:after="100"/>
        <w:ind w:left="0" w:right="0" w:hanging="0"/>
        <w:jc w:val="both"/>
        <w:rPr/>
      </w:pPr>
      <w:r>
        <w:rPr/>
        <w:t>​</w:t>
      </w:r>
    </w:p>
    <w:p>
      <w:pPr>
        <w:pStyle w:val="TextBody"/>
        <w:pBdr/>
        <w:bidi w:val="0"/>
        <w:spacing w:lineRule="auto" w:line="379" w:before="0" w:after="0"/>
        <w:ind w:left="0" w:right="0" w:hanging="0"/>
        <w:jc w:val="both"/>
        <w:rPr>
          <w:rFonts w:ascii="Arial;Helvetica;sans-serif" w:hAnsi="Arial;Helvetica;sans-serif"/>
          <w:sz w:val="20"/>
        </w:rPr>
      </w:pPr>
      <w:r>
        <w:rPr>
          <w:rFonts w:ascii="Arial;Helvetica;sans-serif" w:hAnsi="Arial;Helvetica;sans-serif"/>
          <w:sz w:val="20"/>
        </w:rPr>
        <w:t xml:space="preserve">ACI-19764 targets the NLRP3 inflammasome to inhibit the production of pro-inflammatory factors and reduce chronic inflammation thought to be associated with disease progression in multiple inflammatory disorders, metabolic diseases, and neurological diseases. Supported by a strong preclinical data package (including 3-month toxicology data), ACI-19764 continues to advance through its Phase 1/1b clinical study, with additional data expected in H1 2027. </w:t>
      </w:r>
    </w:p>
    <w:p>
      <w:pPr>
        <w:pStyle w:val="TextBody"/>
        <w:shd w:fill="FFFFFF" w:val="clear"/>
        <w:bidi w:val="0"/>
        <w:spacing w:lineRule="auto" w:line="285" w:before="0" w:after="100"/>
        <w:ind w:left="0" w:right="0" w:hanging="0"/>
        <w:jc w:val="both"/>
        <w:rPr/>
      </w:pPr>
      <w:r>
        <w:rPr/>
        <w:t>​</w:t>
      </w:r>
    </w:p>
    <w:p>
      <w:pPr>
        <w:pStyle w:val="TextBody"/>
        <w:bidi w:val="0"/>
        <w:spacing w:lineRule="auto" w:line="379" w:before="0" w:after="160"/>
        <w:ind w:left="0" w:right="0" w:hanging="0"/>
        <w:jc w:val="both"/>
        <w:rPr>
          <w:rFonts w:ascii="Arial;Helvetica;sans-serif" w:hAnsi="Arial;Helvetica;sans-serif"/>
          <w:b/>
          <w:sz w:val="20"/>
        </w:rPr>
      </w:pPr>
      <w:r>
        <w:rPr>
          <w:rFonts w:ascii="Arial;Helvetica;sans-serif" w:hAnsi="Arial;Helvetica;sans-serif"/>
          <w:b/>
          <w:sz w:val="20"/>
        </w:rPr>
        <w:t>About ACI-19764</w:t>
      </w:r>
    </w:p>
    <w:p>
      <w:pPr>
        <w:pStyle w:val="TextBody"/>
        <w:bidi w:val="0"/>
        <w:spacing w:lineRule="auto" w:line="379" w:before="0" w:after="160"/>
        <w:ind w:left="0" w:right="0" w:hanging="0"/>
        <w:jc w:val="both"/>
        <w:rPr>
          <w:rFonts w:ascii="Aptos" w:hAnsi="Aptos"/>
          <w:sz w:val="20"/>
        </w:rPr>
      </w:pPr>
      <w:r>
        <w:rPr>
          <w:rFonts w:ascii="Arial;Helvetica;sans-serif" w:hAnsi="Arial;Helvetica;sans-serif"/>
          <w:sz w:val="20"/>
        </w:rPr>
        <w:t xml:space="preserve">ACI-19764 is an orally available, brain penetrant, small molecule drug candidate which specifically inhibits the NLRP3 inflammasome. It has shown high potency </w:t>
      </w:r>
      <w:r>
        <w:rPr>
          <w:rFonts w:ascii="Arial;Helvetica;sans-serif" w:hAnsi="Arial;Helvetica;sans-serif"/>
          <w:i/>
          <w:sz w:val="20"/>
        </w:rPr>
        <w:t>in vitro</w:t>
      </w:r>
      <w:r>
        <w:rPr>
          <w:rFonts w:ascii="Aptos" w:hAnsi="Aptos"/>
          <w:sz w:val="20"/>
        </w:rPr>
        <w:t xml:space="preserve"> </w:t>
      </w:r>
      <w:r>
        <w:rPr>
          <w:rFonts w:ascii="Arial;Helvetica;sans-serif" w:hAnsi="Arial;Helvetica;sans-serif"/>
          <w:sz w:val="20"/>
        </w:rPr>
        <w:t xml:space="preserve">as demonstrated by the downstream inhibition of IL-1β production by human macrophages and human whole blood with an IC50 in the range of 2-20.5nM. ACI-19764 statistically significantly inhibited neuroinflammation </w:t>
      </w:r>
      <w:r>
        <w:rPr>
          <w:rFonts w:ascii="Arial;Helvetica;sans-serif" w:hAnsi="Arial;Helvetica;sans-serif"/>
          <w:i/>
          <w:sz w:val="20"/>
        </w:rPr>
        <w:t>in vivo</w:t>
      </w:r>
      <w:r>
        <w:rPr>
          <w:rFonts w:ascii="Aptos" w:hAnsi="Aptos"/>
          <w:sz w:val="20"/>
        </w:rPr>
        <w:t xml:space="preserve"> </w:t>
      </w:r>
      <w:r>
        <w:rPr>
          <w:rFonts w:ascii="Arial;Helvetica;sans-serif" w:hAnsi="Arial;Helvetica;sans-serif"/>
          <w:sz w:val="20"/>
        </w:rPr>
        <w:t>through reduced activation of Iba1+ microglial cells and GFAP+ astrocytes in preclinical models (including experimental autoimmune encephalitis (EAE) and chronic LPS-mediated central nervous system (CNS) inflammation), demonstrating its strongly competitive profile and high potential for broad application in both peripheral and neurologic therapeutic areas.</w:t>
      </w:r>
    </w:p>
    <w:p>
      <w:pPr>
        <w:pStyle w:val="TextBody"/>
        <w:bidi w:val="0"/>
        <w:spacing w:lineRule="auto" w:line="379" w:before="0" w:after="160"/>
        <w:ind w:left="0" w:right="0" w:hanging="0"/>
        <w:jc w:val="both"/>
        <w:rPr>
          <w:rFonts w:ascii="Arial;Helvetica;sans-serif" w:hAnsi="Arial;Helvetica;sans-serif"/>
          <w:b/>
          <w:sz w:val="20"/>
        </w:rPr>
      </w:pPr>
      <w:r>
        <w:rPr>
          <w:rFonts w:ascii="Arial;Helvetica;sans-serif" w:hAnsi="Arial;Helvetica;sans-serif"/>
          <w:b/>
          <w:sz w:val="20"/>
        </w:rPr>
        <w:t>About AC Immune SA </w:t>
      </w:r>
    </w:p>
    <w:p>
      <w:pPr>
        <w:pStyle w:val="TextBody"/>
        <w:bidi w:val="0"/>
        <w:spacing w:lineRule="auto" w:line="379" w:before="0" w:after="160"/>
        <w:ind w:left="0" w:right="0" w:hanging="0"/>
        <w:jc w:val="both"/>
        <w:rPr>
          <w:rFonts w:ascii="Arial;Helvetica;sans-serif" w:hAnsi="Arial;Helvetica;sans-serif"/>
          <w:sz w:val="20"/>
        </w:rPr>
      </w:pPr>
      <w:r>
        <w:rPr>
          <w:rFonts w:ascii="Arial;Helvetica;sans-serif" w:hAnsi="Arial;Helvetica;sans-serif"/>
          <w:sz w:val="20"/>
        </w:rPr>
        <w:t>AC Immune (NASDAQ: ACIU) is a clinical stage biopharmaceutical company developing a pipeline of products, including both active immunotherapies and small molecules, targeting key misfolded proteins and pathways for the treatment of multiple neurodegenerative diseases. The company has a growing focus on its wholly owned proprietary clinical-stage programs, including: ACI-7104, an active immunotherapy targeting α-synuclein (α-syn) in Parkinson's disease; and ACI-19764, a small molecule inhibitor of the NLRP3 inflammasome. In addition, an early-stage small molecule development program targeting intracellular a-syn is advancing towards the clinic.</w:t>
      </w:r>
    </w:p>
    <w:p>
      <w:pPr>
        <w:pStyle w:val="TextBody"/>
        <w:bidi w:val="0"/>
        <w:spacing w:lineRule="auto" w:line="379" w:before="0" w:after="160"/>
        <w:ind w:left="0" w:right="0" w:hanging="0"/>
        <w:jc w:val="both"/>
        <w:rPr>
          <w:rFonts w:ascii="Arial;Helvetica;sans-serif" w:hAnsi="Arial;Helvetica;sans-serif"/>
          <w:sz w:val="20"/>
        </w:rPr>
      </w:pPr>
      <w:r>
        <w:rPr>
          <w:rFonts w:ascii="Arial;Helvetica;sans-serif" w:hAnsi="Arial;Helvetica;sans-serif"/>
          <w:sz w:val="20"/>
        </w:rPr>
        <w:t xml:space="preserve">ACIU has a strong track record of securing strategic partnerships with leading global pharmaceutical companies, resulting in substantial non-dilutive funding and &gt;$4.5 billion in potential milestone payments, plus royalties from sales. ACIU’s pharma-partnered programs, all in Alzheimer’s disease, include: a collaboration on ACI-24, an active immunotherapy targeting Abeta; a collaboration on ACI-35 targeting phospho-Tau; and a collaboration developing brain-penetrant small molecule drugs targeting intracellular pathologic Tau. </w:t>
      </w:r>
    </w:p>
    <w:p>
      <w:pPr>
        <w:pStyle w:val="TextBody"/>
        <w:bidi w:val="0"/>
        <w:spacing w:lineRule="auto" w:line="379" w:before="0" w:after="160"/>
        <w:ind w:left="0" w:right="0" w:hanging="0"/>
        <w:jc w:val="both"/>
        <w:rPr>
          <w:rFonts w:ascii="Arial;Helvetica;sans-serif" w:hAnsi="Arial;Helvetica;sans-serif"/>
          <w:sz w:val="20"/>
        </w:rPr>
      </w:pPr>
      <w:r>
        <w:rPr>
          <w:rFonts w:ascii="Arial;Helvetica;sans-serif" w:hAnsi="Arial;Helvetica;sans-serif"/>
          <w:sz w:val="20"/>
        </w:rPr>
        <w:t>All trademarks used or mentioned in this release are protected by law. The information on our website and any other websites referenced herein is expressly not incorporated by reference into, and does not constitute a part of, this press release.</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ptos" w:hAnsi="Aptos"/>
          <w:b/>
          <w:sz w:val="22"/>
        </w:rPr>
      </w:pPr>
      <w:r>
        <w:rPr>
          <w:rFonts w:ascii="Aptos" w:hAnsi="Aptos"/>
          <w:b/>
          <w:sz w:val="22"/>
        </w:rPr>
        <w:t>Exhibit 99.1</w:t>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right"/>
        <w:rPr>
          <w:rFonts w:ascii="Aptos" w:hAnsi="Aptos"/>
          <w:b/>
          <w:sz w:val="22"/>
        </w:rPr>
      </w:pPr>
      <w:r>
        <w:rPr>
          <w:rFonts w:ascii="Aptos" w:hAnsi="Aptos"/>
          <w:b/>
          <w:sz w:val="22"/>
        </w:rPr>
        <w:t>PRESS RELEASE</w:t>
      </w:r>
      <w:r>
        <mc:AlternateContent>
          <mc:Choice Requires="wps">
            <w:drawing>
              <wp:anchor behindDoc="0" distT="0" distB="0" distL="0" distR="114300" simplePos="0" locked="0" layoutInCell="1" allowOverlap="1" relativeHeight="6">
                <wp:simplePos x="0" y="0"/>
                <wp:positionH relativeFrom="column">
                  <wp:align>left</wp:align>
                </wp:positionH>
                <wp:positionV relativeFrom="line">
                  <wp:posOffset>635</wp:posOffset>
                </wp:positionV>
                <wp:extent cx="1971040" cy="614680"/>
                <wp:effectExtent l="0" t="0" r="0" b="0"/>
                <wp:wrapSquare wrapText="right"/>
                <wp:docPr id="7" name="Frame3"/>
                <a:graphic xmlns:a="http://schemas.openxmlformats.org/drawingml/2006/main">
                  <a:graphicData uri="http://schemas.microsoft.com/office/word/2010/wordprocessingShape">
                    <wps:wsp>
                      <wps:cNvSpPr txBox="1"/>
                      <wps:spPr>
                        <a:xfrm>
                          <a:off x="0" y="0"/>
                          <a:ext cx="1971040" cy="614680"/>
                        </a:xfrm>
                        <a:prstGeom prst="rect"/>
                        <a:solidFill>
                          <a:srgbClr val="FFFFFF"/>
                        </a:solidFill>
                      </wps:spPr>
                      <wps:txbx>
                        <w:txbxContent>
                          <w:p>
                            <w:pPr>
                              <w:pStyle w:val="TextBody"/>
                              <w:bidi w:val="0"/>
                              <w:spacing w:before="0" w:after="0"/>
                              <w:jc w:val="left"/>
                              <w:rPr/>
                            </w:pPr>
                            <w:r>
                              <w:rPr/>
                              <w:drawing>
                                <wp:inline distT="0" distB="0" distL="0" distR="0">
                                  <wp:extent cx="1971040" cy="61468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6"/>
                                          <a:stretch>
                                            <a:fillRect/>
                                          </a:stretch>
                                        </pic:blipFill>
                                        <pic:spPr bwMode="auto">
                                          <a:xfrm>
                                            <a:off x="0" y="0"/>
                                            <a:ext cx="1971040" cy="61468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55.2pt;height:48.4pt;mso-wrap-distance-left:0pt;mso-wrap-distance-right:9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971040" cy="61468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7"/>
                                    <a:stretch>
                                      <a:fillRect/>
                                    </a:stretch>
                                  </pic:blipFill>
                                  <pic:spPr bwMode="auto">
                                    <a:xfrm>
                                      <a:off x="0" y="0"/>
                                      <a:ext cx="1971040" cy="614680"/>
                                    </a:xfrm>
                                    <a:prstGeom prst="rect">
                                      <a:avLst/>
                                    </a:prstGeom>
                                  </pic:spPr>
                                </pic:pic>
                              </a:graphicData>
                            </a:graphic>
                          </wp:inline>
                        </w:drawing>
                      </w:r>
                    </w:p>
                  </w:txbxContent>
                </v:textbox>
                <w10:wrap type="square" side="right"/>
              </v:rect>
            </w:pict>
          </mc:Fallback>
        </mc:AlternateContent>
      </w:r>
    </w:p>
    <w:p>
      <w:pPr>
        <w:pStyle w:val="TextBody"/>
        <w:bidi w:val="0"/>
        <w:spacing w:lineRule="auto" w:line="285" w:before="0" w:after="0"/>
        <w:ind w:left="0" w:right="0" w:hanging="0"/>
        <w:jc w:val="left"/>
        <w:rPr/>
      </w:pPr>
      <w:r>
        <w:rPr/>
        <w:t>​</w:t>
      </w:r>
    </w:p>
    <w:p>
      <w:pPr>
        <w:pStyle w:val="TextBody"/>
        <w:bidi w:val="0"/>
        <w:spacing w:lineRule="auto" w:line="307" w:before="0" w:after="160"/>
        <w:ind w:left="0" w:right="0" w:hanging="0"/>
        <w:jc w:val="both"/>
        <w:rPr/>
      </w:pPr>
      <w:r>
        <w:rPr/>
        <w:t>​</w:t>
      </w:r>
    </w:p>
    <w:p>
      <w:pPr>
        <w:pStyle w:val="TextBody"/>
        <w:bidi w:val="0"/>
        <w:spacing w:lineRule="auto" w:line="307" w:before="0" w:after="160"/>
        <w:ind w:left="0" w:right="0" w:hanging="0"/>
        <w:jc w:val="left"/>
        <w:rPr>
          <w:rFonts w:ascii="Arial;Helvetica;sans-serif" w:hAnsi="Arial;Helvetica;sans-serif"/>
          <w:b/>
          <w:sz w:val="20"/>
        </w:rPr>
      </w:pPr>
      <w:r>
        <w:rPr>
          <w:rFonts w:ascii="Arial;Helvetica;sans-serif" w:hAnsi="Arial;Helvetica;sans-serif"/>
          <w:b/>
          <w:sz w:val="20"/>
        </w:rPr>
        <w:t>For further information, please contact:</w:t>
      </w:r>
    </w:p>
    <w:tbl>
      <w:tblPr>
        <w:tblW w:w="5357" w:type="dxa"/>
        <w:jc w:val="left"/>
        <w:tblInd w:w="0" w:type="dxa"/>
        <w:tblLayout w:type="fixed"/>
        <w:tblCellMar>
          <w:top w:w="0" w:type="dxa"/>
          <w:left w:w="0" w:type="dxa"/>
          <w:bottom w:w="0" w:type="dxa"/>
          <w:right w:w="0" w:type="dxa"/>
        </w:tblCellMar>
      </w:tblPr>
      <w:tblGrid>
        <w:gridCol w:w="5146"/>
        <w:gridCol w:w="211"/>
      </w:tblGrid>
      <w:tr>
        <w:trPr/>
        <w:tc>
          <w:tcPr>
            <w:tcW w:w="5146" w:type="dxa"/>
            <w:tcBorders/>
            <w:vAlign w:val="center"/>
          </w:tcPr>
          <w:p>
            <w:pPr>
              <w:pStyle w:val="TableContents"/>
              <w:bidi w:val="0"/>
              <w:spacing w:lineRule="auto" w:line="307" w:before="0" w:after="160"/>
              <w:ind w:left="0" w:right="0" w:hanging="0"/>
              <w:jc w:val="left"/>
              <w:rPr>
                <w:rFonts w:ascii="Aptos" w:hAnsi="Aptos"/>
                <w:sz w:val="20"/>
              </w:rPr>
            </w:pPr>
            <w:r>
              <w:rPr>
                <w:rFonts w:ascii="Arial;Helvetica;sans-serif" w:hAnsi="Arial;Helvetica;sans-serif"/>
                <w:b/>
                <w:sz w:val="20"/>
              </w:rPr>
              <w:t>SVP, Investor Relations &amp; Corporate Communications</w:t>
              <w:br/>
              <w:br/>
            </w:r>
            <w:r>
              <w:rPr>
                <w:rFonts w:ascii="Arial;Helvetica;sans-serif" w:hAnsi="Arial;Helvetica;sans-serif"/>
                <w:sz w:val="20"/>
              </w:rPr>
              <w:t>Gary Waanders, Ph.D., MBA</w:t>
              <w:br/>
              <w:t>AC Immune</w:t>
              <w:br/>
              <w:t>Phone: +41 21 345 91 91</w:t>
              <w:br/>
              <w:t>Email: gary.waanders@acimmune.com</w:t>
            </w:r>
            <w:r>
              <w:rPr>
                <w:rFonts w:ascii="Arial;Helvetica;sans-serif" w:hAnsi="Arial;Helvetica;sans-serif"/>
                <w:b/>
                <w:sz w:val="20"/>
              </w:rPr>
              <w:br/>
              <w:br/>
            </w:r>
            <w:r>
              <w:rPr>
                <w:rFonts w:ascii="Aptos" w:hAnsi="Aptos"/>
                <w:sz w:val="20"/>
              </w:rPr>
              <w:t>​</w:t>
            </w:r>
          </w:p>
        </w:tc>
        <w:tc>
          <w:tcPr>
            <w:tcW w:w="211" w:type="dxa"/>
            <w:tcBorders/>
            <w:vAlign w:val="center"/>
          </w:tcPr>
          <w:p>
            <w:pPr>
              <w:pStyle w:val="TableContents"/>
              <w:bidi w:val="0"/>
              <w:spacing w:lineRule="auto" w:line="307" w:before="0" w:after="160"/>
              <w:ind w:left="0" w:right="0" w:hanging="0"/>
              <w:jc w:val="left"/>
              <w:rPr/>
            </w:pPr>
            <w:r>
              <w:rPr/>
              <w:t>​</w:t>
            </w:r>
            <w:r>
              <w:rPr>
                <w:rFonts w:ascii="Arial;Helvetica;sans-serif" w:hAnsi="Arial;Helvetica;sans-serif"/>
                <w:b/>
                <w:sz w:val="20"/>
              </w:rPr>
              <w:br/>
              <w:t>​</w:t>
              <w:br/>
              <w:t>​</w:t>
              <w:br/>
              <w:t>​</w:t>
              <w:br/>
            </w:r>
            <w:r>
              <w:rPr>
                <w:rFonts w:ascii="Aptos" w:hAnsi="Aptos"/>
                <w:sz w:val="20"/>
              </w:rPr>
              <w:t> </w:t>
            </w:r>
          </w:p>
        </w:tc>
      </w:tr>
      <w:tr>
        <w:trPr/>
        <w:tc>
          <w:tcPr>
            <w:tcW w:w="5146" w:type="dxa"/>
            <w:tcBorders/>
            <w:vAlign w:val="center"/>
          </w:tcPr>
          <w:p>
            <w:pPr>
              <w:pStyle w:val="TableContents"/>
              <w:bidi w:val="0"/>
              <w:spacing w:lineRule="auto" w:line="307" w:before="0" w:after="160"/>
              <w:ind w:left="0" w:right="0" w:hanging="0"/>
              <w:jc w:val="left"/>
              <w:rPr>
                <w:rFonts w:ascii="Arial;Helvetica;sans-serif" w:hAnsi="Arial;Helvetica;sans-serif"/>
                <w:b/>
                <w:sz w:val="20"/>
              </w:rPr>
            </w:pPr>
            <w:r>
              <w:rPr>
                <w:rFonts w:ascii="Arial;Helvetica;sans-serif" w:hAnsi="Arial;Helvetica;sans-serif"/>
                <w:b/>
                <w:sz w:val="20"/>
              </w:rPr>
              <w:t>International Media</w:t>
            </w:r>
          </w:p>
          <w:p>
            <w:pPr>
              <w:pStyle w:val="TableContents"/>
              <w:bidi w:val="0"/>
              <w:spacing w:lineRule="auto" w:line="307" w:before="0" w:after="160"/>
              <w:ind w:left="0" w:right="0" w:hanging="0"/>
              <w:jc w:val="left"/>
              <w:rPr>
                <w:rFonts w:ascii="Aptos" w:hAnsi="Aptos"/>
                <w:sz w:val="20"/>
              </w:rPr>
            </w:pPr>
            <w:r>
              <w:rPr>
                <w:rFonts w:ascii="Arial;Helvetica;sans-serif" w:hAnsi="Arial;Helvetica;sans-serif"/>
                <w:b/>
                <w:sz w:val="20"/>
              </w:rPr>
              <w:t>Optimum Strategic Communications</w:t>
              <w:br/>
            </w:r>
            <w:r>
              <w:rPr>
                <w:rFonts w:ascii="Arial;Helvetica;sans-serif" w:hAnsi="Arial;Helvetica;sans-serif"/>
                <w:sz w:val="20"/>
              </w:rPr>
              <w:t>Nick Bastin, Joshua Evans, Aoife Minihan, Ben Cowe</w:t>
            </w:r>
            <w:r>
              <w:rPr>
                <w:rFonts w:ascii="Arial;Helvetica;sans-serif" w:hAnsi="Arial;Helvetica;sans-serif"/>
                <w:b/>
                <w:sz w:val="20"/>
              </w:rPr>
              <w:br/>
            </w:r>
            <w:r>
              <w:rPr>
                <w:rFonts w:ascii="Arial;Helvetica;sans-serif" w:hAnsi="Arial;Helvetica;sans-serif"/>
                <w:sz w:val="20"/>
              </w:rPr>
              <w:t>Phone: +44 (0) 20 4566 8543</w:t>
              <w:br/>
              <w:t>Email: acimmune@optimumcomms.com</w:t>
            </w:r>
            <w:r>
              <w:rPr>
                <w:rFonts w:ascii="Arial;Helvetica;sans-serif" w:hAnsi="Arial;Helvetica;sans-serif"/>
                <w:b/>
                <w:sz w:val="20"/>
              </w:rPr>
              <w:br/>
              <w:br/>
            </w:r>
            <w:r>
              <w:rPr>
                <w:rFonts w:ascii="Aptos" w:hAnsi="Aptos"/>
                <w:sz w:val="20"/>
              </w:rPr>
              <w:t>​</w:t>
            </w:r>
          </w:p>
        </w:tc>
        <w:tc>
          <w:tcPr>
            <w:tcW w:w="211" w:type="dxa"/>
            <w:tcBorders/>
            <w:vAlign w:val="center"/>
          </w:tcPr>
          <w:p>
            <w:pPr>
              <w:pStyle w:val="TableContents"/>
              <w:bidi w:val="0"/>
              <w:spacing w:lineRule="auto" w:line="307" w:before="0" w:after="160"/>
              <w:ind w:left="0" w:right="0" w:hanging="0"/>
              <w:jc w:val="left"/>
              <w:rPr/>
            </w:pPr>
            <w:r>
              <w:rPr/>
              <w:t> </w:t>
            </w:r>
          </w:p>
        </w:tc>
      </w:tr>
    </w:tbl>
    <w:p>
      <w:pPr>
        <w:pStyle w:val="TextBody"/>
        <w:bidi w:val="0"/>
        <w:spacing w:lineRule="auto" w:line="379" w:before="0" w:after="160"/>
        <w:ind w:left="0" w:right="0" w:hanging="0"/>
        <w:jc w:val="both"/>
        <w:rPr>
          <w:rFonts w:ascii="Arial;Helvetica;sans-serif" w:hAnsi="Arial;Helvetica;sans-serif"/>
          <w:b/>
          <w:i/>
          <w:sz w:val="20"/>
        </w:rPr>
      </w:pPr>
      <w:r>
        <w:rPr>
          <w:rFonts w:ascii="Arial;Helvetica;sans-serif" w:hAnsi="Arial;Helvetica;sans-serif"/>
          <w:b/>
          <w:i/>
          <w:sz w:val="20"/>
        </w:rPr>
        <w:t>Forward looking statements</w:t>
      </w:r>
    </w:p>
    <w:p>
      <w:pPr>
        <w:pStyle w:val="TextBody"/>
        <w:bidi w:val="0"/>
        <w:spacing w:lineRule="auto" w:line="379" w:before="0" w:after="160"/>
        <w:ind w:left="0" w:right="0" w:hanging="0"/>
        <w:jc w:val="both"/>
        <w:rPr>
          <w:rFonts w:ascii="Arial;Helvetica;sans-serif" w:hAnsi="Arial;Helvetica;sans-serif"/>
          <w:i/>
          <w:sz w:val="20"/>
        </w:rPr>
      </w:pPr>
      <w:r>
        <w:rPr>
          <w:rFonts w:ascii="Arial;Helvetica;sans-serif" w:hAnsi="Arial;Helvetica;sans-serif"/>
          <w:i/>
          <w:sz w:val="20"/>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pto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1325</Words>
  <Characters>8056</Characters>
  <CharactersWithSpaces>9440</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