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lineRule="auto" w:line="285" w:before="0" w:after="240"/>
        <w:ind w:left="0" w:right="0" w:hanging="0"/>
        <w:jc w:val="center"/>
        <w:rPr/>
      </w:pPr>
      <w:bookmarkStart w:id="0" w:name="aciu-20260811x6k.htm"/>
      <w:bookmarkStart w:id="1" w:name="ksaciu20260811x6k"/>
      <w:bookmarkEnd w:id="0"/>
      <w:bookmarkEnd w:id="1"/>
      <w:r>
        <w:rPr/>
        <w:t>​</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34"/>
        </w:rPr>
      </w:pPr>
      <w:r>
        <w:rPr>
          <w:rFonts w:ascii="Times New Roman;Times;serif" w:hAnsi="Times New Roman;Times;serif"/>
          <w:sz w:val="34"/>
        </w:rPr>
        <w:t>UNITED STATES</w:t>
      </w:r>
    </w:p>
    <w:p>
      <w:pPr>
        <w:pStyle w:val="TextBody"/>
        <w:bidi w:val="0"/>
        <w:spacing w:lineRule="auto" w:line="285" w:before="0" w:after="0"/>
        <w:ind w:left="0" w:right="0" w:hanging="0"/>
        <w:jc w:val="center"/>
        <w:rPr>
          <w:rFonts w:ascii="Times New Roman;Times;serif" w:hAnsi="Times New Roman;Times;serif"/>
          <w:sz w:val="34"/>
        </w:rPr>
      </w:pPr>
      <w:r>
        <w:rPr>
          <w:rFonts w:ascii="Times New Roman;Times;serif" w:hAnsi="Times New Roman;Times;serif"/>
          <w:sz w:val="34"/>
        </w:rPr>
        <w:t>SECURITIES AND EXCHANGE COMMISSION</w:t>
      </w:r>
    </w:p>
    <w:p>
      <w:pPr>
        <w:pStyle w:val="TextBody"/>
        <w:bidi w:val="0"/>
        <w:spacing w:lineRule="auto" w:line="285" w:before="0" w:after="0"/>
        <w:ind w:left="0" w:right="0" w:hanging="0"/>
        <w:jc w:val="center"/>
        <w:rPr>
          <w:rFonts w:ascii="Times New Roman;Times;serif" w:hAnsi="Times New Roman;Times;serif"/>
          <w:sz w:val="26"/>
        </w:rPr>
      </w:pPr>
      <w:r>
        <w:rPr>
          <w:rFonts w:ascii="Times New Roman;Times;serif" w:hAnsi="Times New Roman;Times;serif"/>
          <w:sz w:val="26"/>
        </w:rPr>
        <w:t>Washington, D.C. 20549</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32"/>
        </w:rPr>
      </w:pPr>
      <w:r>
        <w:rPr>
          <w:rFonts w:ascii="Times New Roman;Times;serif" w:hAnsi="Times New Roman;Times;serif"/>
          <w:b/>
          <w:sz w:val="32"/>
        </w:rPr>
        <w:t>FORM 6-K</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8"/>
        </w:rPr>
      </w:pPr>
      <w:r>
        <w:rPr>
          <w:rFonts w:ascii="Times New Roman;Times;serif" w:hAnsi="Times New Roman;Times;serif"/>
          <w:b/>
          <w:sz w:val="28"/>
        </w:rPr>
        <w:t>REPORT OF FOREIGN PRIVATE ISSUER PURSUANT TO RULE 13a-16 OR 15d-16 UNDER THE SECURITIES EXCHANGE ACT OF 1934</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For the month of August, 2026</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001-37891</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32"/>
        </w:rPr>
      </w:pPr>
      <w:r>
        <w:rPr>
          <w:rFonts w:ascii="Times New Roman;Times;serif" w:hAnsi="Times New Roman;Times;serif"/>
          <w:b/>
          <w:sz w:val="32"/>
        </w:rPr>
        <w:t>AC IMMUNE SA</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EPFL Innovation Park</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Building B</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1015 Lausanne, Switzerland</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Indicate by check mark whether the registrant files or will file annual reports under cover of Form 20-F or Form 40-F.</w:t>
      </w:r>
    </w:p>
    <w:p>
      <w:pPr>
        <w:pStyle w:val="TextBody"/>
        <w:bidi w:val="0"/>
        <w:spacing w:lineRule="auto" w:line="285" w:before="0" w:after="240"/>
        <w:ind w:left="0" w:right="0" w:hanging="0"/>
        <w:jc w:val="center"/>
        <w:rPr/>
      </w:pPr>
      <w:r>
        <w:rPr/>
        <w:t>​</w:t>
      </w:r>
    </w:p>
    <w:p>
      <w:pPr>
        <w:pStyle w:val="TextBody"/>
        <w:bidi w:val="0"/>
        <w:spacing w:lineRule="auto" w:line="285" w:before="0" w:after="0"/>
        <w:ind w:left="0" w:right="0" w:firstLine="360"/>
        <w:jc w:val="center"/>
        <w:rPr>
          <w:rFonts w:ascii="Times New Roman;Times;serif" w:hAnsi="Times New Roman;Times;serif"/>
          <w:sz w:val="20"/>
        </w:rPr>
      </w:pPr>
      <w:r>
        <w:rPr>
          <w:rFonts w:ascii="Times New Roman;Times;serif" w:hAnsi="Times New Roman;Times;serif"/>
          <w:sz w:val="20"/>
        </w:rPr>
        <w:t>Form 20-F ☒     Form 40-F ☐</w:t>
      </w:r>
    </w:p>
    <w:p>
      <w:pPr>
        <w:pStyle w:val="TextBody"/>
        <w:bidi w:val="0"/>
        <w:spacing w:lineRule="auto" w:line="285" w:before="0" w:after="240"/>
        <w:ind w:left="0" w:right="0" w:hanging="0"/>
        <w:jc w:val="center"/>
        <w:rPr/>
      </w:pPr>
      <w:r>
        <w:rPr/>
        <w:t>​</w:t>
      </w:r>
    </w:p>
    <w:p>
      <w:pPr>
        <w:pStyle w:val="TextBody"/>
        <w:pBdr>
          <w:top w:val="single" w:sz="8" w:space="1" w:color="000000"/>
          <w:bottom w:val="single" w:sz="24" w:space="1" w:color="000000"/>
        </w:pBdr>
        <w:bidi w:val="0"/>
        <w:spacing w:lineRule="auto" w:line="285" w:before="0" w:after="240"/>
        <w:ind w:left="0" w:right="0" w:hanging="0"/>
        <w:jc w:val="center"/>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360"/>
        <w:jc w:val="both"/>
        <w:rPr>
          <w:rFonts w:ascii="Times New Roman;Times;serif" w:hAnsi="Times New Roman;Times;serif"/>
          <w:sz w:val="20"/>
        </w:rPr>
      </w:pPr>
      <w:r>
        <w:rPr>
          <w:rFonts w:ascii="Times New Roman;Times;serif" w:hAnsi="Times New Roman;Times;serif"/>
          <w:sz w:val="20"/>
        </w:rPr>
        <w:t>On August 11, 2026, AC Immune SA issued a press release announcing that it has received Fast Track designation and clearance of its Investigational New Drug (IND) application from the U.S. Food and Drug Administration (FDA) for its wholly owned anti-alpha-synuclein (a-syn) active immunotherapy candidate, ACI-7104, for the treatment of early-stage Parkinson’s disease (PD).</w:t>
      </w:r>
    </w:p>
    <w:p>
      <w:pPr>
        <w:pStyle w:val="TextBody"/>
        <w:bidi w:val="0"/>
        <w:spacing w:lineRule="auto" w:line="285" w:before="0" w:after="240"/>
        <w:ind w:left="0" w:right="0" w:firstLine="360"/>
        <w:jc w:val="both"/>
        <w:rPr>
          <w:rFonts w:ascii="Times New Roman;Times;serif" w:hAnsi="Times New Roman;Times;serif"/>
          <w:sz w:val="20"/>
        </w:rPr>
      </w:pPr>
      <w:r>
        <w:rPr>
          <w:rFonts w:ascii="Times New Roman;Times;serif" w:hAnsi="Times New Roman;Times;serif"/>
          <w:sz w:val="20"/>
        </w:rPr>
        <w:t>ACI-7104 is designed to induce a-syn-specific antibodies, preferentially recognizing aggregated a-syn species that are toxic to neurons. The candidate is currently being investigated in the VacSYn Phase 2 trial, an adaptive, biomarker-based study in patients with early-stage Parkinson’s disease, with final Part 1 week-100 results on track to be announced in H2.</w:t>
      </w:r>
    </w:p>
    <w:p>
      <w:pPr>
        <w:pStyle w:val="TextBody"/>
        <w:bidi w:val="0"/>
        <w:spacing w:lineRule="auto" w:line="285"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This Report on Form 6-K (excluding Exhibit 99.1) shall be deemed to be incorporated by reference into the registration statements on Form F-3 (File Nos. 333-227016, 333-249655 and 333-277940) and Form S-8 (File Nos. 333-213865, 333-216539 and 333-233019) of AC Immune SA and to be a part thereof from the date on which this report is filed, to the extent not superseded by documents or reports subsequently filed or furnished.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360"/>
        <w:jc w:val="both"/>
        <w:rPr/>
      </w:pPr>
      <w:r>
        <w:rPr/>
        <w:t>​</w:t>
      </w:r>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EXHIBIT INDEX</w:t>
      </w:r>
    </w:p>
    <w:p>
      <w:pPr>
        <w:pStyle w:val="TextBody"/>
        <w:bidi w:val="0"/>
        <w:spacing w:lineRule="auto" w:line="285" w:before="0" w:after="240"/>
        <w:ind w:left="0" w:right="0" w:hanging="0"/>
        <w:jc w:val="both"/>
        <w:rPr/>
      </w:pPr>
      <w:r>
        <w:rPr/>
        <w:t>​</w:t>
      </w:r>
    </w:p>
    <w:tbl>
      <w:tblPr>
        <w:tblW w:w="4173" w:type="dxa"/>
        <w:jc w:val="left"/>
        <w:tblInd w:w="0" w:type="dxa"/>
        <w:tblLayout w:type="fixed"/>
        <w:tblCellMar>
          <w:top w:w="0" w:type="dxa"/>
          <w:left w:w="0" w:type="dxa"/>
          <w:bottom w:w="0" w:type="dxa"/>
          <w:right w:w="0" w:type="dxa"/>
        </w:tblCellMar>
      </w:tblPr>
      <w:tblGrid>
        <w:gridCol w:w="706"/>
        <w:gridCol w:w="346"/>
        <w:gridCol w:w="3121"/>
      </w:tblGrid>
      <w:tr>
        <w:trPr/>
        <w:tc>
          <w:tcPr>
            <w:tcW w:w="70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121" w:type="dxa"/>
            <w:tcBorders/>
            <w:vAlign w:val="center"/>
          </w:tcPr>
          <w:p>
            <w:pPr>
              <w:pStyle w:val="TableContents"/>
              <w:bidi w:val="0"/>
              <w:spacing w:lineRule="auto" w:line="285" w:before="0" w:after="0"/>
              <w:ind w:left="0" w:right="0" w:hanging="0"/>
              <w:jc w:val="left"/>
              <w:rPr/>
            </w:pPr>
            <w:r>
              <w:rPr/>
              <w:t>​</w:t>
            </w:r>
          </w:p>
        </w:tc>
      </w:tr>
      <w:tr>
        <w:trPr/>
        <w:tc>
          <w:tcPr>
            <w:tcW w:w="70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vAlign w:val="center"/>
          </w:tcPr>
          <w:p>
            <w:pPr>
              <w:pStyle w:val="TableContents"/>
              <w:bidi w:val="0"/>
              <w:spacing w:lineRule="auto" w:line="285" w:before="0" w:after="0"/>
              <w:ind w:left="0" w:right="0" w:hanging="0"/>
              <w:jc w:val="left"/>
              <w:rPr/>
            </w:pPr>
            <w:r>
              <w:rPr/>
              <w:t>  ​ ​ ​</w:t>
            </w:r>
          </w:p>
        </w:tc>
        <w:tc>
          <w:tcPr>
            <w:tcW w:w="312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Description</w:t>
            </w:r>
          </w:p>
        </w:tc>
      </w:tr>
      <w:tr>
        <w:trPr/>
        <w:tc>
          <w:tcPr>
            <w:tcW w:w="706"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lineRule="auto" w:line="285" w:before="0" w:after="0"/>
              <w:ind w:left="0" w:right="0" w:hanging="0"/>
              <w:jc w:val="left"/>
              <w:rPr/>
            </w:pPr>
            <w:r>
              <w:rPr/>
              <w:t>​</w:t>
            </w:r>
          </w:p>
        </w:tc>
        <w:tc>
          <w:tcPr>
            <w:tcW w:w="3121" w:type="dxa"/>
            <w:tcBorders/>
            <w:vAlign w:val="center"/>
          </w:tcPr>
          <w:p>
            <w:pPr>
              <w:pStyle w:val="TableContents"/>
              <w:bidi w:val="0"/>
              <w:spacing w:lineRule="auto" w:line="285" w:before="0" w:after="0"/>
              <w:ind w:left="0" w:right="0" w:hanging="0"/>
              <w:jc w:val="left"/>
              <w:rPr/>
            </w:pPr>
            <w:hyperlink w:anchor="aciu-20260811xex99d1.htm">
              <w:r>
                <w:rPr>
                  <w:rStyle w:val="InternetLink"/>
                  <w:rFonts w:ascii="Times New Roman;Times;serif" w:hAnsi="Times New Roman;Times;serif"/>
                  <w:b w:val="false"/>
                  <w:i w:val="false"/>
                  <w:caps w:val="false"/>
                  <w:smallCaps w:val="false"/>
                  <w:sz w:val="20"/>
                </w:rPr>
                <w:t>Press Release dated August 11, 2026</w:t>
              </w:r>
            </w:hyperlink>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360"/>
        <w:jc w:val="both"/>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pacing w:val="-10"/>
          <w:sz w:val="20"/>
        </w:rPr>
      </w:pPr>
      <w:r>
        <w:rPr>
          <w:rFonts w:ascii="Times New Roman;Times;serif" w:hAnsi="Times New Roman;Times;serif"/>
          <w:b/>
          <w:spacing w:val="-10"/>
          <w:sz w:val="20"/>
        </w:rPr>
        <w:t>SIGNATURE</w:t>
      </w:r>
    </w:p>
    <w:p>
      <w:pPr>
        <w:pStyle w:val="TextBody"/>
        <w:bidi w:val="0"/>
        <w:spacing w:lineRule="auto" w:line="285" w:before="0" w:after="0"/>
        <w:ind w:left="0" w:right="0" w:firstLine="36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5" w:before="0" w:after="240"/>
        <w:ind w:left="0" w:right="0" w:hanging="0"/>
        <w:jc w:val="center"/>
        <w:rPr/>
      </w:pPr>
      <w:r>
        <w:rPr/>
        <w:t>​</w:t>
      </w:r>
    </w:p>
    <w:tbl>
      <w:tblPr>
        <w:tblW w:w="5868" w:type="dxa"/>
        <w:jc w:val="left"/>
        <w:tblInd w:w="0" w:type="dxa"/>
        <w:tblLayout w:type="fixed"/>
        <w:tblCellMar>
          <w:top w:w="0" w:type="dxa"/>
          <w:left w:w="0" w:type="dxa"/>
          <w:bottom w:w="0" w:type="dxa"/>
          <w:right w:w="0" w:type="dxa"/>
        </w:tblCellMar>
      </w:tblPr>
      <w:tblGrid>
        <w:gridCol w:w="2131"/>
        <w:gridCol w:w="406"/>
        <w:gridCol w:w="3331"/>
      </w:tblGrid>
      <w:tr>
        <w:trPr/>
        <w:tc>
          <w:tcPr>
            <w:tcW w:w="213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left"/>
              <w:rPr/>
            </w:pPr>
            <w:r>
              <w:rPr/>
              <w:t>​</w:t>
            </w:r>
          </w:p>
        </w:tc>
      </w:tr>
      <w:tr>
        <w:trPr/>
        <w:tc>
          <w:tcPr>
            <w:tcW w:w="2131" w:type="dxa"/>
            <w:tcBorders/>
            <w:vAlign w:val="center"/>
          </w:tcPr>
          <w:p>
            <w:pPr>
              <w:pStyle w:val="TableContents"/>
              <w:bidi w:val="0"/>
              <w:spacing w:lineRule="auto" w:line="285" w:before="0" w:after="0"/>
              <w:ind w:left="0" w:right="0" w:hanging="0"/>
              <w:jc w:val="left"/>
              <w:rPr/>
            </w:pPr>
            <w:bookmarkStart w:id="2" w:name="_Hlk114779092"/>
            <w:bookmarkEnd w:id="2"/>
            <w:r>
              <w:rPr/>
              <w:t>​</w:t>
            </w:r>
          </w:p>
        </w:tc>
        <w:tc>
          <w:tcPr>
            <w:tcW w:w="3737" w:type="dxa"/>
            <w:gridSpan w:val="2"/>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AC IMMUNE SA</w:t>
            </w:r>
          </w:p>
        </w:tc>
      </w:tr>
      <w:tr>
        <w:trPr/>
        <w:tc>
          <w:tcPr>
            <w:tcW w:w="2131" w:type="dxa"/>
            <w:tcBorders/>
            <w:vAlign w:val="center"/>
          </w:tcPr>
          <w:p>
            <w:pPr>
              <w:pStyle w:val="TableContents"/>
              <w:bidi w:val="0"/>
              <w:spacing w:lineRule="auto" w:line="285" w:before="0" w:after="0"/>
              <w:ind w:left="0" w:right="0" w:hanging="0"/>
              <w:jc w:val="left"/>
              <w:rPr/>
            </w:pPr>
            <w:r>
              <w:rPr/>
              <w:t>​</w:t>
            </w:r>
          </w:p>
        </w:tc>
        <w:tc>
          <w:tcPr>
            <w:tcW w:w="3737" w:type="dxa"/>
            <w:gridSpan w:val="2"/>
            <w:tcBorders/>
            <w:vAlign w:val="center"/>
          </w:tcPr>
          <w:p>
            <w:pPr>
              <w:pStyle w:val="TableContents"/>
              <w:bidi w:val="0"/>
              <w:spacing w:lineRule="auto" w:line="285" w:before="0" w:after="0"/>
              <w:ind w:left="0" w:right="0" w:hanging="0"/>
              <w:jc w:val="left"/>
              <w:rPr/>
            </w:pPr>
            <w:r>
              <w:rPr/>
              <w:t>​</w:t>
            </w:r>
          </w:p>
        </w:tc>
      </w:tr>
      <w:tr>
        <w:trPr/>
        <w:tc>
          <w:tcPr>
            <w:tcW w:w="213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3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Martin Zuegel</w:t>
            </w:r>
          </w:p>
        </w:tc>
      </w:tr>
      <w:tr>
        <w:trPr/>
        <w:tc>
          <w:tcPr>
            <w:tcW w:w="213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  Martin Zuegel</w:t>
            </w:r>
          </w:p>
        </w:tc>
      </w:tr>
      <w:tr>
        <w:trPr/>
        <w:tc>
          <w:tcPr>
            <w:tcW w:w="213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    Interim Chief Executive Officer</w:t>
            </w:r>
          </w:p>
        </w:tc>
      </w:tr>
      <w:tr>
        <w:trPr/>
        <w:tc>
          <w:tcPr>
            <w:tcW w:w="213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left"/>
              <w:rPr/>
            </w:pPr>
            <w:r>
              <w:rPr/>
              <w:t>​</w:t>
            </w:r>
          </w:p>
        </w:tc>
      </w:tr>
      <w:tr>
        <w:trPr/>
        <w:tc>
          <w:tcPr>
            <w:tcW w:w="213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left"/>
              <w:rPr/>
            </w:pPr>
            <w:r>
              <w:rPr/>
              <w:t>​</w:t>
            </w:r>
          </w:p>
        </w:tc>
      </w:tr>
      <w:tr>
        <w:trPr/>
        <w:tc>
          <w:tcPr>
            <w:tcW w:w="213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33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Christopher Roberts</w:t>
            </w:r>
          </w:p>
        </w:tc>
      </w:tr>
      <w:tr>
        <w:trPr/>
        <w:tc>
          <w:tcPr>
            <w:tcW w:w="213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  Christopher Roberts</w:t>
            </w:r>
          </w:p>
        </w:tc>
      </w:tr>
      <w:tr>
        <w:trPr/>
        <w:tc>
          <w:tcPr>
            <w:tcW w:w="213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r>
        <w:trPr/>
        <w:tc>
          <w:tcPr>
            <w:tcW w:w="2131"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left"/>
              <w:rPr/>
            </w:pPr>
            <w:r>
              <w:rPr/>
              <w:t>​</w:t>
            </w:r>
          </w:p>
        </w:tc>
      </w:tr>
      <w:tr>
        <w:trPr/>
        <w:tc>
          <w:tcPr>
            <w:tcW w:w="21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11, 2026</w:t>
            </w:r>
          </w:p>
        </w:tc>
        <w:tc>
          <w:tcPr>
            <w:tcW w:w="406" w:type="dxa"/>
            <w:tcBorders/>
            <w:vAlign w:val="center"/>
          </w:tcPr>
          <w:p>
            <w:pPr>
              <w:pStyle w:val="TableContents"/>
              <w:bidi w:val="0"/>
              <w:spacing w:lineRule="auto" w:line="285" w:before="0" w:after="0"/>
              <w:ind w:left="0" w:right="0" w:hanging="0"/>
              <w:jc w:val="left"/>
              <w:rPr/>
            </w:pPr>
            <w:r>
              <w:rPr/>
              <w:t>​</w:t>
            </w:r>
          </w:p>
        </w:tc>
        <w:tc>
          <w:tcPr>
            <w:tcW w:w="333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ptos" w:hAnsi="Aptos"/>
          <w:b/>
          <w:sz w:val="22"/>
        </w:rPr>
      </w:pPr>
      <w:bookmarkStart w:id="3" w:name="aciu-20260811xex99d1.htm"/>
      <w:bookmarkStart w:id="4" w:name="ksaciu20260811xex99d1"/>
      <w:bookmarkEnd w:id="3"/>
      <w:bookmarkEnd w:id="4"/>
      <w:r>
        <w:rPr>
          <w:rFonts w:ascii="Aptos" w:hAnsi="Aptos"/>
          <w:b/>
          <w:sz w:val="22"/>
        </w:rPr>
        <w:t>Exhibit 99.1</w:t>
      </w:r>
      <w:r>
        <w:br w:type="page"/>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right"/>
        <w:rPr>
          <w:rFonts w:ascii="Aptos" w:hAnsi="Aptos"/>
          <w:b/>
          <w:sz w:val="22"/>
        </w:rPr>
      </w:pPr>
      <w:r>
        <w:rPr>
          <w:rFonts w:ascii="Aptos" w:hAnsi="Aptos"/>
          <w:b/>
          <w:sz w:val="22"/>
        </w:rPr>
        <w:t>PRESS RELEASE</w:t>
      </w:r>
      <w:r>
        <mc:AlternateContent>
          <mc:Choice Requires="wps">
            <w:drawing>
              <wp:anchor behindDoc="0" distT="0" distB="0" distL="0" distR="114300" simplePos="0" locked="0" layoutInCell="1" allowOverlap="1" relativeHeight="2">
                <wp:simplePos x="0" y="0"/>
                <wp:positionH relativeFrom="column">
                  <wp:align>left</wp:align>
                </wp:positionH>
                <wp:positionV relativeFrom="line">
                  <wp:posOffset>635</wp:posOffset>
                </wp:positionV>
                <wp:extent cx="1971040" cy="614680"/>
                <wp:effectExtent l="0" t="0" r="0" b="0"/>
                <wp:wrapSquare wrapText="right"/>
                <wp:docPr id="1" name="Frame1"/>
                <a:graphic xmlns:a="http://schemas.openxmlformats.org/drawingml/2006/main">
                  <a:graphicData uri="http://schemas.microsoft.com/office/word/2010/wordprocessingShape">
                    <wps:wsp>
                      <wps:cNvSpPr txBox="1"/>
                      <wps:spPr>
                        <a:xfrm>
                          <a:off x="0" y="0"/>
                          <a:ext cx="1971040" cy="614680"/>
                        </a:xfrm>
                        <a:prstGeom prst="rect"/>
                        <a:solidFill>
                          <a:srgbClr val="FFFFFF"/>
                        </a:solidFill>
                      </wps:spPr>
                      <wps:txbx>
                        <w:txbxContent>
                          <w:p>
                            <w:pPr>
                              <w:pStyle w:val="TextBody"/>
                              <w:bidi w:val="0"/>
                              <w:spacing w:before="0" w:after="0"/>
                              <w:jc w:val="left"/>
                              <w:rPr/>
                            </w:pPr>
                            <w:r>
                              <w:rPr/>
                              <w:drawing>
                                <wp:inline distT="0" distB="0" distL="0" distR="0">
                                  <wp:extent cx="1971040" cy="61468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971040" cy="61468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55.2pt;height:48.4pt;mso-wrap-distance-left:0pt;mso-wrap-distance-right:9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971040" cy="61468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3"/>
                                    <a:stretch>
                                      <a:fillRect/>
                                    </a:stretch>
                                  </pic:blipFill>
                                  <pic:spPr bwMode="auto">
                                    <a:xfrm>
                                      <a:off x="0" y="0"/>
                                      <a:ext cx="1971040" cy="614680"/>
                                    </a:xfrm>
                                    <a:prstGeom prst="rect">
                                      <a:avLst/>
                                    </a:prstGeom>
                                  </pic:spPr>
                                </pic:pic>
                              </a:graphicData>
                            </a:graphic>
                          </wp:inline>
                        </w:drawing>
                      </w:r>
                    </w:p>
                  </w:txbxContent>
                </v:textbox>
                <w10:wrap type="square" side="right"/>
              </v:rect>
            </w:pict>
          </mc:Fallback>
        </mc:AlternateContent>
      </w:r>
    </w:p>
    <w:p>
      <w:pPr>
        <w:pStyle w:val="TextBody"/>
        <w:bidi w:val="0"/>
        <w:spacing w:lineRule="auto" w:line="285" w:before="0" w:after="0"/>
        <w:ind w:left="0" w:right="0" w:hanging="0"/>
        <w:jc w:val="left"/>
        <w:rPr/>
      </w:pPr>
      <w:r>
        <w:rPr/>
        <w:t>​</w:t>
      </w:r>
    </w:p>
    <w:p>
      <w:pPr>
        <w:pStyle w:val="TextBody"/>
        <w:bidi w:val="0"/>
        <w:spacing w:lineRule="auto" w:line="307" w:before="0" w:after="160"/>
        <w:ind w:left="0" w:right="0" w:hanging="0"/>
        <w:jc w:val="center"/>
        <w:rPr/>
      </w:pPr>
      <w:r>
        <w:rPr/>
        <w:t>​</w:t>
      </w:r>
    </w:p>
    <w:p>
      <w:pPr>
        <w:pStyle w:val="TextBody"/>
        <w:bidi w:val="0"/>
        <w:spacing w:lineRule="auto" w:line="429" w:before="0" w:after="0"/>
        <w:ind w:left="720" w:right="0" w:hanging="0"/>
        <w:jc w:val="center"/>
        <w:rPr>
          <w:rFonts w:ascii="Arial;Helvetica;sans-serif" w:hAnsi="Arial;Helvetica;sans-serif"/>
          <w:b/>
          <w:sz w:val="28"/>
        </w:rPr>
      </w:pPr>
      <w:bookmarkStart w:id="5" w:name="_Hlk195778772"/>
      <w:bookmarkEnd w:id="5"/>
      <w:r>
        <w:rPr>
          <w:rFonts w:ascii="Arial;Helvetica;sans-serif" w:hAnsi="Arial;Helvetica;sans-serif"/>
          <w:b/>
          <w:sz w:val="28"/>
        </w:rPr>
        <w:t>AC Immune Receives FDA Fast Track Designation for Anti-Alpha-synuclein Active Immunotherapy, ACI-7104, to Treat Early Parkinson’s Disease (PD)</w:t>
      </w:r>
    </w:p>
    <w:p>
      <w:pPr>
        <w:pStyle w:val="TextBody"/>
        <w:bidi w:val="0"/>
        <w:spacing w:lineRule="auto" w:line="343" w:before="0" w:after="0"/>
        <w:ind w:left="0" w:right="0" w:hanging="0"/>
        <w:jc w:val="left"/>
        <w:rPr/>
      </w:pPr>
      <w:r>
        <w:rPr/>
        <w:t>●</w:t>
      </w:r>
      <w:r>
        <w:rPr>
          <w:rFonts w:ascii="Arial;Helvetica;sans-serif" w:hAnsi="Arial;Helvetica;sans-serif"/>
          <w:sz w:val="20"/>
        </w:rPr>
        <w:t xml:space="preserve">Ongoing Phase 2 VacSYn study to expand to sites in USA with </w:t>
      </w:r>
      <w:bookmarkStart w:id="6" w:name="_Hlk138671065"/>
      <w:bookmarkEnd w:id="6"/>
      <w:r>
        <w:rPr>
          <w:rFonts w:ascii="Arial;Helvetica;sans-serif" w:hAnsi="Arial;Helvetica;sans-serif"/>
          <w:sz w:val="20"/>
        </w:rPr>
        <w:t>Investigational New Drug (IND) clearance</w:t>
      </w:r>
    </w:p>
    <w:p>
      <w:pPr>
        <w:pStyle w:val="TextBody"/>
        <w:bidi w:val="0"/>
        <w:spacing w:lineRule="auto" w:line="343" w:before="0" w:after="0"/>
        <w:ind w:left="0" w:right="0" w:hanging="0"/>
        <w:jc w:val="left"/>
        <w:rPr/>
      </w:pPr>
      <w:r>
        <w:rPr/>
        <w:t>●</w:t>
      </w:r>
      <w:r>
        <w:rPr>
          <w:rFonts w:ascii="Arial;Helvetica;sans-serif" w:hAnsi="Arial;Helvetica;sans-serif"/>
          <w:sz w:val="20"/>
        </w:rPr>
        <w:t>Recent positive interim results showed safety and immunogenicity with early signals of activity</w:t>
      </w:r>
    </w:p>
    <w:p>
      <w:pPr>
        <w:pStyle w:val="TextBody"/>
        <w:bidi w:val="0"/>
        <w:spacing w:lineRule="auto" w:line="343"/>
        <w:ind w:left="0" w:right="0" w:hanging="0"/>
        <w:jc w:val="left"/>
        <w:rPr/>
      </w:pPr>
      <w:r>
        <w:rPr/>
        <w:t>●</w:t>
      </w:r>
      <w:r>
        <w:rPr>
          <w:rFonts w:ascii="Arial;Helvetica;sans-serif" w:hAnsi="Arial;Helvetica;sans-serif"/>
          <w:sz w:val="20"/>
        </w:rPr>
        <w:t>Full week-100 results from Part 1 of VacSYn trial expected in H2 2026</w:t>
      </w:r>
    </w:p>
    <w:p>
      <w:pPr>
        <w:pStyle w:val="TextBody"/>
        <w:bidi w:val="0"/>
        <w:spacing w:lineRule="auto" w:line="307" w:before="0" w:after="160"/>
        <w:ind w:left="0" w:right="0" w:hanging="0"/>
        <w:jc w:val="left"/>
        <w:rPr/>
      </w:pPr>
      <w:r>
        <w:rPr/>
        <w:t>​</w:t>
      </w:r>
    </w:p>
    <w:p>
      <w:pPr>
        <w:pStyle w:val="TextBody"/>
        <w:bidi w:val="0"/>
        <w:spacing w:lineRule="auto" w:line="379" w:before="0" w:after="160"/>
        <w:ind w:left="0" w:right="0" w:hanging="0"/>
        <w:jc w:val="both"/>
        <w:rPr>
          <w:rFonts w:ascii="Aptos" w:hAnsi="Aptos"/>
          <w:sz w:val="20"/>
        </w:rPr>
      </w:pPr>
      <w:r>
        <w:rPr>
          <w:rFonts w:ascii="Arial;Helvetica;sans-serif" w:hAnsi="Arial;Helvetica;sans-serif"/>
          <w:b/>
          <w:sz w:val="20"/>
        </w:rPr>
        <w:t>Lausanne, Switzerland, August 11, 2026</w:t>
      </w:r>
      <w:r>
        <w:rPr>
          <w:rFonts w:ascii="Aptos" w:hAnsi="Aptos"/>
          <w:sz w:val="20"/>
        </w:rPr>
        <w:t xml:space="preserve"> – </w:t>
      </w:r>
      <w:r>
        <w:rPr>
          <w:rFonts w:ascii="Arial;Helvetica;sans-serif" w:hAnsi="Arial;Helvetica;sans-serif"/>
          <w:sz w:val="20"/>
        </w:rPr>
        <w:t xml:space="preserve">AC Immune SA (NASDAQ: ACIU), a clinical-stage biopharmaceutical company developing targeted therapeutics for neurodegenerative diseases, today announced that it has received Fast Track designation and clearance of its Investigational New Drug (IND) application from the U.S. Food and Drug Administration (FDA) for its wholly owned anti-alpha-synuclein (a-syn) active immunotherapy candidate, ACI-7104, for the treatment of early-stage Parkinson’s disease (PD). </w:t>
      </w:r>
    </w:p>
    <w:p>
      <w:pPr>
        <w:pStyle w:val="TextBody"/>
        <w:bidi w:val="0"/>
        <w:spacing w:lineRule="auto" w:line="379" w:before="0" w:after="160"/>
        <w:ind w:left="0" w:right="0" w:hanging="0"/>
        <w:jc w:val="both"/>
        <w:rPr>
          <w:rFonts w:ascii="Arial;Helvetica;sans-serif" w:hAnsi="Arial;Helvetica;sans-serif"/>
          <w:sz w:val="20"/>
        </w:rPr>
      </w:pPr>
      <w:r>
        <w:rPr>
          <w:rFonts w:ascii="Arial;Helvetica;sans-serif" w:hAnsi="Arial;Helvetica;sans-serif"/>
          <w:sz w:val="20"/>
        </w:rPr>
        <w:t>ACI-7104 is designed to induce a-syn-specific antibodies, preferentially recognizing aggregated a-syn species that are toxic to neurons. The candidate is currently being investigated in the VacSYn Phase 2 trial, an adaptive, biomarker-based study in patients with early-stage Parkinson’s disease, with final Part 1 week-100 results on track to be announced in H2.</w:t>
      </w:r>
    </w:p>
    <w:p>
      <w:pPr>
        <w:pStyle w:val="TextBody"/>
        <w:bidi w:val="0"/>
        <w:spacing w:lineRule="auto" w:line="379" w:before="0" w:after="160"/>
        <w:ind w:left="0" w:right="0" w:hanging="0"/>
        <w:jc w:val="both"/>
        <w:rPr>
          <w:rFonts w:ascii="Aptos" w:hAnsi="Aptos"/>
          <w:sz w:val="20"/>
        </w:rPr>
      </w:pPr>
      <w:r>
        <w:rPr>
          <w:rFonts w:ascii="Arial;Helvetica;sans-serif" w:hAnsi="Arial;Helvetica;sans-serif"/>
          <w:b/>
          <w:sz w:val="20"/>
        </w:rPr>
        <w:t>Martin Zügel, interim CEO of</w:t>
      </w:r>
      <w:r>
        <w:rPr>
          <w:rFonts w:ascii="Aptos" w:hAnsi="Aptos"/>
          <w:sz w:val="20"/>
        </w:rPr>
        <w:t> </w:t>
      </w:r>
      <w:r>
        <w:rPr>
          <w:rFonts w:ascii="Arial;Helvetica;sans-serif" w:hAnsi="Arial;Helvetica;sans-serif"/>
          <w:b/>
          <w:sz w:val="20"/>
        </w:rPr>
        <w:t>AC Immune SA, commented:</w:t>
      </w:r>
      <w:r>
        <w:rPr>
          <w:rFonts w:ascii="Aptos" w:hAnsi="Aptos"/>
          <w:sz w:val="20"/>
        </w:rPr>
        <w:t> “</w:t>
      </w:r>
      <w:bookmarkStart w:id="7" w:name="_Hlk138670306"/>
      <w:bookmarkEnd w:id="7"/>
      <w:r>
        <w:rPr>
          <w:rFonts w:ascii="Arial;Helvetica;sans-serif" w:hAnsi="Arial;Helvetica;sans-serif"/>
          <w:i/>
          <w:sz w:val="20"/>
        </w:rPr>
        <w:t>Fast Track designation and IND clearance from the FDA are important achievements for ACI-7104, one of our wholly-owned programs, given its potential to address the significant unmet need in Parkinson’s. We look forward to working closely with the FDA as we advance ACI-7104 through its ongoing clinical development towards potentially delivering a much-needed treatment option for patients.</w:t>
      </w:r>
      <w:r>
        <w:rPr>
          <w:rFonts w:ascii="Aptos" w:hAnsi="Aptos"/>
          <w:sz w:val="20"/>
        </w:rPr>
        <w:t>”</w:t>
      </w:r>
    </w:p>
    <w:p>
      <w:pPr>
        <w:pStyle w:val="TextBody"/>
        <w:pBdr/>
        <w:bidi w:val="0"/>
        <w:spacing w:lineRule="auto" w:line="379" w:before="0" w:after="0"/>
        <w:ind w:left="0" w:right="0" w:hanging="0"/>
        <w:jc w:val="both"/>
        <w:rPr>
          <w:rFonts w:ascii="Arial;Helvetica;sans-serif" w:hAnsi="Arial;Helvetica;sans-serif"/>
          <w:sz w:val="20"/>
        </w:rPr>
      </w:pPr>
      <w:r>
        <w:rPr>
          <w:rFonts w:ascii="Arial;Helvetica;sans-serif" w:hAnsi="Arial;Helvetica;sans-serif"/>
          <w:sz w:val="20"/>
        </w:rPr>
        <w:t>FDA Fast Track designation reflects the early interim Phase 2 data demonstrating safety, tolerability and immunogenicity, and providing first signals that targeting underlying a-syn pathology with an active immunotherapy could potentially impact PD. The interim results, reported for Part 1 of the study at 76 weeks, successfully demonstrated ACI-7104 was safe and well tolerated, with no clinically relevant safety issues being reported. Targets were also met for immunogenicity with a 100% responder rate. AC Immune recently announced a $4 million research grant from the Vijay and Marie Goradia Charitable Foundation to support the extension of Part 1 of the VacSYn trial, enabling the assessment of long-term safety and efficacy of ACI-7104 for an additional two years.</w:t>
      </w:r>
    </w:p>
    <w:p>
      <w:pPr>
        <w:pStyle w:val="TextBody"/>
        <w:shd w:fill="FFFFFF" w:val="clear"/>
        <w:bidi w:val="0"/>
        <w:spacing w:lineRule="auto" w:line="379" w:before="0" w:after="0"/>
        <w:ind w:left="0" w:right="0" w:hanging="0"/>
        <w:jc w:val="both"/>
        <w:rPr>
          <w:rFonts w:ascii="Times New Roman;Times;serif" w:hAnsi="Times New Roman;Times;serif"/>
          <w:sz w:val="20"/>
        </w:rPr>
      </w:pPr>
      <w:r>
        <w:rPr>
          <w:rFonts w:ascii="Arial;Helvetica;sans-serif" w:hAnsi="Arial;Helvetica;sans-serif"/>
          <w:b/>
          <w:sz w:val="20"/>
        </w:rPr>
        <w:t>Günther Staffler, Executive Vice President, Development at AC Immune SA, commented: </w:t>
      </w:r>
      <w:r>
        <w:rPr>
          <w:rFonts w:ascii="Times New Roman;Times;serif" w:hAnsi="Times New Roman;Times;serif"/>
          <w:sz w:val="20"/>
        </w:rPr>
        <w:t>“</w:t>
      </w:r>
      <w:r>
        <w:rPr>
          <w:rFonts w:ascii="Arial;Helvetica;sans-serif" w:hAnsi="Arial;Helvetica;sans-serif"/>
          <w:i/>
          <w:sz w:val="20"/>
        </w:rPr>
        <w:t>ACI-7104 represents a promising active immunotherapy designed to target pathological a-syn for the treatment of prodromal and early PD. The FDA’s decision signifies the growing importance of the program</w:t>
      </w:r>
      <w:r>
        <w:rPr>
          <w:rFonts w:ascii="Times New Roman;Times;serif" w:hAnsi="Times New Roman;Times;serif"/>
          <w:sz w:val="20"/>
        </w:rPr>
        <w:t xml:space="preserve"> </w:t>
      </w:r>
      <w:r>
        <w:rPr>
          <w:rFonts w:ascii="Arial;Helvetica;sans-serif" w:hAnsi="Arial;Helvetica;sans-serif"/>
          <w:i/>
          <w:sz w:val="20"/>
        </w:rPr>
        <w:t>including the positive interim Phase 2 findings. This is a key regulatory milestone for the program, and we look forward to delivering the full results from Part 1 of the VacSYn trial in the coming months.”</w:t>
      </w:r>
    </w:p>
    <w:p>
      <w:pPr>
        <w:pStyle w:val="TextBody"/>
        <w:shd w:fill="FFFFFF" w:val="clear"/>
        <w:bidi w:val="0"/>
        <w:spacing w:lineRule="auto" w:line="285" w:before="100" w:after="100"/>
        <w:ind w:left="0" w:right="0" w:hanging="0"/>
        <w:jc w:val="both"/>
        <w:rPr/>
      </w:pPr>
      <w:r>
        <w:rPr/>
        <w:t>​</w:t>
      </w:r>
    </w:p>
    <w:p>
      <w:pPr>
        <w:pStyle w:val="TextBody"/>
        <w:bidi w:val="0"/>
        <w:spacing w:lineRule="auto" w:line="285" w:before="100" w:after="100"/>
        <w:ind w:left="0" w:right="0" w:hanging="0"/>
        <w:jc w:val="both"/>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ptos" w:hAnsi="Aptos"/>
          <w:b/>
          <w:sz w:val="22"/>
        </w:rPr>
      </w:pPr>
      <w:r>
        <w:rPr>
          <w:rFonts w:ascii="Aptos" w:hAnsi="Aptos"/>
          <w:b/>
          <w:sz w:val="22"/>
        </w:rPr>
        <w:t>Exhibit 99.1</w:t>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right"/>
        <w:rPr>
          <w:rFonts w:ascii="Aptos" w:hAnsi="Aptos"/>
          <w:b/>
          <w:sz w:val="22"/>
        </w:rPr>
      </w:pPr>
      <w:r>
        <w:rPr>
          <w:rFonts w:ascii="Aptos" w:hAnsi="Aptos"/>
          <w:b/>
          <w:sz w:val="22"/>
        </w:rPr>
        <w:t>PRESS RELEASE</w:t>
      </w:r>
      <w:r>
        <mc:AlternateContent>
          <mc:Choice Requires="wps">
            <w:drawing>
              <wp:anchor behindDoc="0" distT="0" distB="0" distL="0" distR="114300" simplePos="0" locked="0" layoutInCell="1" allowOverlap="1" relativeHeight="4">
                <wp:simplePos x="0" y="0"/>
                <wp:positionH relativeFrom="column">
                  <wp:align>left</wp:align>
                </wp:positionH>
                <wp:positionV relativeFrom="line">
                  <wp:posOffset>635</wp:posOffset>
                </wp:positionV>
                <wp:extent cx="1971040" cy="614680"/>
                <wp:effectExtent l="0" t="0" r="0" b="0"/>
                <wp:wrapSquare wrapText="right"/>
                <wp:docPr id="4" name="Frame2"/>
                <a:graphic xmlns:a="http://schemas.openxmlformats.org/drawingml/2006/main">
                  <a:graphicData uri="http://schemas.microsoft.com/office/word/2010/wordprocessingShape">
                    <wps:wsp>
                      <wps:cNvSpPr txBox="1"/>
                      <wps:spPr>
                        <a:xfrm>
                          <a:off x="0" y="0"/>
                          <a:ext cx="1971040" cy="614680"/>
                        </a:xfrm>
                        <a:prstGeom prst="rect"/>
                        <a:solidFill>
                          <a:srgbClr val="FFFFFF"/>
                        </a:solidFill>
                      </wps:spPr>
                      <wps:txbx>
                        <w:txbxContent>
                          <w:p>
                            <w:pPr>
                              <w:pStyle w:val="TextBody"/>
                              <w:bidi w:val="0"/>
                              <w:spacing w:before="0" w:after="0"/>
                              <w:jc w:val="left"/>
                              <w:rPr/>
                            </w:pPr>
                            <w:r>
                              <w:rPr/>
                              <w:drawing>
                                <wp:inline distT="0" distB="0" distL="0" distR="0">
                                  <wp:extent cx="1971040" cy="61468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4"/>
                                          <a:stretch>
                                            <a:fillRect/>
                                          </a:stretch>
                                        </pic:blipFill>
                                        <pic:spPr bwMode="auto">
                                          <a:xfrm>
                                            <a:off x="0" y="0"/>
                                            <a:ext cx="1971040" cy="61468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55.2pt;height:48.4pt;mso-wrap-distance-left:0pt;mso-wrap-distance-right:9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971040" cy="61468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5"/>
                                    <a:stretch>
                                      <a:fillRect/>
                                    </a:stretch>
                                  </pic:blipFill>
                                  <pic:spPr bwMode="auto">
                                    <a:xfrm>
                                      <a:off x="0" y="0"/>
                                      <a:ext cx="1971040" cy="614680"/>
                                    </a:xfrm>
                                    <a:prstGeom prst="rect">
                                      <a:avLst/>
                                    </a:prstGeom>
                                  </pic:spPr>
                                </pic:pic>
                              </a:graphicData>
                            </a:graphic>
                          </wp:inline>
                        </w:drawing>
                      </w:r>
                    </w:p>
                  </w:txbxContent>
                </v:textbox>
                <w10:wrap type="square" side="right"/>
              </v:rect>
            </w:pict>
          </mc:Fallback>
        </mc:AlternateContent>
      </w:r>
    </w:p>
    <w:p>
      <w:pPr>
        <w:pStyle w:val="TextBody"/>
        <w:bidi w:val="0"/>
        <w:spacing w:lineRule="auto" w:line="285" w:before="0" w:after="0"/>
        <w:ind w:left="0" w:right="0" w:hanging="0"/>
        <w:jc w:val="left"/>
        <w:rPr/>
      </w:pPr>
      <w:r>
        <w:rPr/>
        <w:t>​</w:t>
      </w:r>
    </w:p>
    <w:p>
      <w:pPr>
        <w:pStyle w:val="TextBody"/>
        <w:bidi w:val="0"/>
        <w:spacing w:lineRule="auto" w:line="285" w:before="100" w:after="100"/>
        <w:ind w:left="0" w:right="0" w:hanging="0"/>
        <w:jc w:val="both"/>
        <w:rPr/>
      </w:pPr>
      <w:r>
        <w:rPr/>
        <w:t>​</w:t>
      </w:r>
    </w:p>
    <w:p>
      <w:pPr>
        <w:pStyle w:val="TextBody"/>
        <w:bidi w:val="0"/>
        <w:spacing w:lineRule="auto" w:line="379" w:before="0" w:after="160"/>
        <w:ind w:left="0" w:right="0" w:hanging="0"/>
        <w:jc w:val="both"/>
        <w:rPr>
          <w:rFonts w:ascii="Arial;Helvetica;sans-serif" w:hAnsi="Arial;Helvetica;sans-serif"/>
          <w:b/>
          <w:sz w:val="20"/>
        </w:rPr>
      </w:pPr>
      <w:r>
        <w:rPr>
          <w:rFonts w:ascii="Arial;Helvetica;sans-serif" w:hAnsi="Arial;Helvetica;sans-serif"/>
          <w:b/>
          <w:sz w:val="20"/>
        </w:rPr>
        <w:t>About ACI-7104</w:t>
      </w:r>
    </w:p>
    <w:p>
      <w:pPr>
        <w:pStyle w:val="TextBody"/>
        <w:bidi w:val="0"/>
        <w:spacing w:lineRule="auto" w:line="379" w:before="0" w:after="160"/>
        <w:ind w:left="0" w:right="0" w:hanging="0"/>
        <w:jc w:val="both"/>
        <w:rPr>
          <w:rFonts w:ascii="Arial;Helvetica;sans-serif" w:hAnsi="Arial;Helvetica;sans-serif"/>
          <w:sz w:val="20"/>
        </w:rPr>
      </w:pPr>
      <w:r>
        <w:rPr>
          <w:rFonts w:ascii="Arial;Helvetica;sans-serif" w:hAnsi="Arial;Helvetica;sans-serif"/>
          <w:sz w:val="20"/>
        </w:rPr>
        <w:t>ACI-7104 is an optimized formulation of AC Immune’s anti-a-syn predecessor active immunotherapy which generated an antibody response against pathological oligomeric a-syn to inhibit spreading and downstream neurodegeneration in early Parkinson’s disease. The accumulation of alpha-synuclein protein aggregates has been shown to cause inflammatory stress in cells and contributes to the degeneration of neurons in the brain, linking it to the development of neurodegenerative diseases such as Parkinson’s Disease.</w:t>
      </w:r>
    </w:p>
    <w:p>
      <w:pPr>
        <w:pStyle w:val="TextBody"/>
        <w:bidi w:val="0"/>
        <w:spacing w:lineRule="auto" w:line="307" w:before="0" w:after="160"/>
        <w:ind w:left="0" w:right="0" w:hanging="0"/>
        <w:jc w:val="both"/>
        <w:rPr/>
      </w:pPr>
      <w:r>
        <w:rPr/>
        <w:t>​</w:t>
      </w:r>
    </w:p>
    <w:p>
      <w:pPr>
        <w:pStyle w:val="TextBody"/>
        <w:bidi w:val="0"/>
        <w:spacing w:lineRule="auto" w:line="379" w:before="0" w:after="160"/>
        <w:ind w:left="0" w:right="0" w:hanging="0"/>
        <w:jc w:val="both"/>
        <w:rPr>
          <w:rFonts w:ascii="Arial;Helvetica;sans-serif" w:hAnsi="Arial;Helvetica;sans-serif"/>
          <w:b/>
          <w:sz w:val="20"/>
        </w:rPr>
      </w:pPr>
      <w:r>
        <w:rPr>
          <w:rFonts w:ascii="Arial;Helvetica;sans-serif" w:hAnsi="Arial;Helvetica;sans-serif"/>
          <w:b/>
          <w:sz w:val="20"/>
        </w:rPr>
        <w:t>About AC Immune SA </w:t>
      </w:r>
    </w:p>
    <w:p>
      <w:pPr>
        <w:pStyle w:val="TextBody"/>
        <w:bidi w:val="0"/>
        <w:spacing w:lineRule="auto" w:line="379" w:before="0" w:after="160"/>
        <w:ind w:left="0" w:right="0" w:hanging="0"/>
        <w:jc w:val="both"/>
        <w:rPr>
          <w:rFonts w:ascii="Arial;Helvetica;sans-serif" w:hAnsi="Arial;Helvetica;sans-serif"/>
          <w:sz w:val="20"/>
        </w:rPr>
      </w:pPr>
      <w:r>
        <w:rPr>
          <w:rFonts w:ascii="Arial;Helvetica;sans-serif" w:hAnsi="Arial;Helvetica;sans-serif"/>
          <w:sz w:val="20"/>
        </w:rPr>
        <w:t>AC Immune (NASDAQ: ACIU) is a clinical stage biopharmaceutical company developing a pipeline of products, including both active immunotherapies and small molecules, targeting key misfolded proteins and pathways for the treatment of multiple neurodegenerative diseases. The company has a growing focus on its wholly owned proprietary clinical-stage programs, including: ACI-7104, an active immunotherapy targeting α-synuclein (α-syn) in Parkinson's disease; and ACI-19764, a small molecule inhibitor of the NLRP3 inflammasome. In addition, an early-stage small molecule development program targeting intracellular a-syn is advancing towards the clinic.</w:t>
      </w:r>
    </w:p>
    <w:p>
      <w:pPr>
        <w:pStyle w:val="TextBody"/>
        <w:bidi w:val="0"/>
        <w:spacing w:lineRule="auto" w:line="379" w:before="0" w:after="160"/>
        <w:ind w:left="0" w:right="0" w:hanging="0"/>
        <w:jc w:val="both"/>
        <w:rPr>
          <w:rFonts w:ascii="Arial;Helvetica;sans-serif" w:hAnsi="Arial;Helvetica;sans-serif"/>
          <w:sz w:val="20"/>
        </w:rPr>
      </w:pPr>
      <w:r>
        <w:rPr>
          <w:rFonts w:ascii="Arial;Helvetica;sans-serif" w:hAnsi="Arial;Helvetica;sans-serif"/>
          <w:sz w:val="20"/>
        </w:rPr>
        <w:t xml:space="preserve">ACIU has a strong track record of securing strategic partnerships with leading global pharmaceutical companies, resulting in substantial non-dilutive funding and &gt;$4.5 billion in potential milestone payments. ACIU’s pharma-partnered programs, all in Alzheimer’s disease, include: a collaboration on ACI-24, an active immunotherapy targeting Abeta; a collaboration on ACI-35 targeting phospho-Tau; and a collaboration developing brain-penetrant small molecule drugs targeting intracellular pathologic Tau. </w:t>
      </w:r>
    </w:p>
    <w:p>
      <w:pPr>
        <w:pStyle w:val="TextBody"/>
        <w:bidi w:val="0"/>
        <w:spacing w:lineRule="auto" w:line="379" w:before="0" w:after="160"/>
        <w:ind w:left="0" w:right="0" w:hanging="0"/>
        <w:jc w:val="both"/>
        <w:rPr>
          <w:rFonts w:ascii="Arial;Helvetica;sans-serif" w:hAnsi="Arial;Helvetica;sans-serif"/>
          <w:sz w:val="20"/>
        </w:rPr>
      </w:pPr>
      <w:r>
        <w:rPr>
          <w:rFonts w:ascii="Arial;Helvetica;sans-serif" w:hAnsi="Arial;Helvetica;sans-serif"/>
          <w:sz w:val="20"/>
        </w:rPr>
        <w:t>All trademarks used or mentioned in this release are protected by law. The information on our website and any other websites referenced herein is expressly not incorporated by reference into, and does not constitute a part of, this press release.</w:t>
      </w:r>
    </w:p>
    <w:p>
      <w:pPr>
        <w:pStyle w:val="TextBody"/>
        <w:bidi w:val="0"/>
        <w:spacing w:lineRule="auto" w:line="307" w:before="0" w:after="160"/>
        <w:ind w:left="0" w:right="0" w:hanging="0"/>
        <w:jc w:val="both"/>
        <w:rPr/>
      </w:pPr>
      <w:r>
        <w:rPr/>
        <w:t>​</w:t>
      </w:r>
    </w:p>
    <w:p>
      <w:pPr>
        <w:pStyle w:val="TextBody"/>
        <w:bidi w:val="0"/>
        <w:spacing w:lineRule="auto" w:line="307" w:before="0" w:after="160"/>
        <w:ind w:left="0" w:right="0" w:hanging="0"/>
        <w:jc w:val="left"/>
        <w:rPr>
          <w:rFonts w:ascii="Arial;Helvetica;sans-serif" w:hAnsi="Arial;Helvetica;sans-serif"/>
          <w:b/>
          <w:sz w:val="20"/>
        </w:rPr>
      </w:pPr>
      <w:r>
        <w:rPr>
          <w:rFonts w:ascii="Arial;Helvetica;sans-serif" w:hAnsi="Arial;Helvetica;sans-serif"/>
          <w:b/>
          <w:sz w:val="20"/>
        </w:rPr>
        <w:t>For further information, please contact:</w:t>
      </w:r>
    </w:p>
    <w:tbl>
      <w:tblPr>
        <w:tblW w:w="5357" w:type="dxa"/>
        <w:jc w:val="left"/>
        <w:tblInd w:w="0" w:type="dxa"/>
        <w:tblLayout w:type="fixed"/>
        <w:tblCellMar>
          <w:top w:w="0" w:type="dxa"/>
          <w:left w:w="0" w:type="dxa"/>
          <w:bottom w:w="0" w:type="dxa"/>
          <w:right w:w="0" w:type="dxa"/>
        </w:tblCellMar>
      </w:tblPr>
      <w:tblGrid>
        <w:gridCol w:w="5146"/>
        <w:gridCol w:w="211"/>
      </w:tblGrid>
      <w:tr>
        <w:trPr/>
        <w:tc>
          <w:tcPr>
            <w:tcW w:w="5146" w:type="dxa"/>
            <w:tcBorders/>
            <w:vAlign w:val="center"/>
          </w:tcPr>
          <w:p>
            <w:pPr>
              <w:pStyle w:val="TableContents"/>
              <w:bidi w:val="0"/>
              <w:spacing w:lineRule="auto" w:line="307" w:before="0" w:after="160"/>
              <w:ind w:left="0" w:right="0" w:hanging="0"/>
              <w:jc w:val="left"/>
              <w:rPr>
                <w:rFonts w:ascii="Aptos" w:hAnsi="Aptos"/>
                <w:sz w:val="20"/>
              </w:rPr>
            </w:pPr>
            <w:r>
              <w:rPr>
                <w:rFonts w:ascii="Arial;Helvetica;sans-serif" w:hAnsi="Arial;Helvetica;sans-serif"/>
                <w:b/>
                <w:sz w:val="20"/>
              </w:rPr>
              <w:t>SVP, Investor Relations &amp; Corporate Communications</w:t>
              <w:br/>
              <w:br/>
            </w:r>
            <w:r>
              <w:rPr>
                <w:rFonts w:ascii="Arial;Helvetica;sans-serif" w:hAnsi="Arial;Helvetica;sans-serif"/>
                <w:sz w:val="20"/>
              </w:rPr>
              <w:t>Gary Waanders, Ph.D., MBA</w:t>
              <w:br/>
              <w:t>AC Immune</w:t>
              <w:br/>
              <w:t>Phone: +41 21 345 91 91</w:t>
              <w:br/>
              <w:t>Email: gary.waanders@acimmune.com</w:t>
            </w:r>
            <w:r>
              <w:rPr>
                <w:rFonts w:ascii="Arial;Helvetica;sans-serif" w:hAnsi="Arial;Helvetica;sans-serif"/>
                <w:b/>
                <w:sz w:val="20"/>
              </w:rPr>
              <w:br/>
              <w:br/>
            </w:r>
            <w:r>
              <w:rPr>
                <w:rFonts w:ascii="Aptos" w:hAnsi="Aptos"/>
                <w:sz w:val="20"/>
              </w:rPr>
              <w:t>​</w:t>
            </w:r>
          </w:p>
        </w:tc>
        <w:tc>
          <w:tcPr>
            <w:tcW w:w="211" w:type="dxa"/>
            <w:tcBorders/>
            <w:vAlign w:val="center"/>
          </w:tcPr>
          <w:p>
            <w:pPr>
              <w:pStyle w:val="TableContents"/>
              <w:bidi w:val="0"/>
              <w:spacing w:lineRule="auto" w:line="307" w:before="0" w:after="160"/>
              <w:ind w:left="0" w:right="0" w:hanging="0"/>
              <w:jc w:val="left"/>
              <w:rPr/>
            </w:pPr>
            <w:r>
              <w:rPr/>
              <w:t>​</w:t>
            </w:r>
            <w:r>
              <w:rPr>
                <w:rFonts w:ascii="Arial;Helvetica;sans-serif" w:hAnsi="Arial;Helvetica;sans-serif"/>
                <w:b/>
                <w:sz w:val="20"/>
              </w:rPr>
              <w:br/>
              <w:t>​</w:t>
              <w:br/>
              <w:t>​</w:t>
              <w:br/>
              <w:t>​</w:t>
              <w:br/>
            </w:r>
            <w:r>
              <w:rPr>
                <w:rFonts w:ascii="Aptos" w:hAnsi="Aptos"/>
                <w:sz w:val="20"/>
              </w:rPr>
              <w:t> </w:t>
            </w:r>
          </w:p>
        </w:tc>
      </w:tr>
      <w:tr>
        <w:trPr/>
        <w:tc>
          <w:tcPr>
            <w:tcW w:w="5146" w:type="dxa"/>
            <w:tcBorders/>
            <w:vAlign w:val="center"/>
          </w:tcPr>
          <w:p>
            <w:pPr>
              <w:pStyle w:val="TableContents"/>
              <w:bidi w:val="0"/>
              <w:spacing w:lineRule="auto" w:line="307" w:before="0" w:after="160"/>
              <w:ind w:left="0" w:right="0" w:hanging="0"/>
              <w:jc w:val="left"/>
              <w:rPr>
                <w:rFonts w:ascii="Arial;Helvetica;sans-serif" w:hAnsi="Arial;Helvetica;sans-serif"/>
                <w:b/>
                <w:sz w:val="20"/>
              </w:rPr>
            </w:pPr>
            <w:r>
              <w:rPr>
                <w:rFonts w:ascii="Arial;Helvetica;sans-serif" w:hAnsi="Arial;Helvetica;sans-serif"/>
                <w:b/>
                <w:sz w:val="20"/>
              </w:rPr>
              <w:t>International Media</w:t>
            </w:r>
          </w:p>
          <w:p>
            <w:pPr>
              <w:pStyle w:val="TableContents"/>
              <w:bidi w:val="0"/>
              <w:spacing w:lineRule="auto" w:line="307" w:before="0" w:after="160"/>
              <w:ind w:left="0" w:right="0" w:hanging="0"/>
              <w:jc w:val="left"/>
              <w:rPr>
                <w:rFonts w:ascii="Aptos" w:hAnsi="Aptos"/>
                <w:sz w:val="20"/>
              </w:rPr>
            </w:pPr>
            <w:r>
              <w:rPr>
                <w:rFonts w:ascii="Arial;Helvetica;sans-serif" w:hAnsi="Arial;Helvetica;sans-serif"/>
                <w:b/>
                <w:sz w:val="20"/>
              </w:rPr>
              <w:t>Optimum Strategic Communications</w:t>
              <w:br/>
            </w:r>
            <w:r>
              <w:rPr>
                <w:rFonts w:ascii="Arial;Helvetica;sans-serif" w:hAnsi="Arial;Helvetica;sans-serif"/>
                <w:sz w:val="20"/>
              </w:rPr>
              <w:t>Nick Bastin, Joshua Evans, Aoife Minihan, Ben Cowe</w:t>
            </w:r>
            <w:r>
              <w:rPr>
                <w:rFonts w:ascii="Arial;Helvetica;sans-serif" w:hAnsi="Arial;Helvetica;sans-serif"/>
                <w:b/>
                <w:sz w:val="20"/>
              </w:rPr>
              <w:br/>
            </w:r>
            <w:r>
              <w:rPr>
                <w:rFonts w:ascii="Aptos" w:hAnsi="Aptos"/>
                <w:sz w:val="20"/>
              </w:rPr>
              <w:t>​</w:t>
            </w:r>
          </w:p>
        </w:tc>
        <w:tc>
          <w:tcPr>
            <w:tcW w:w="211" w:type="dxa"/>
            <w:tcBorders/>
            <w:vAlign w:val="center"/>
          </w:tcPr>
          <w:p>
            <w:pPr>
              <w:pStyle w:val="TableContents"/>
              <w:bidi w:val="0"/>
              <w:spacing w:lineRule="auto" w:line="307" w:before="0" w:after="160"/>
              <w:ind w:left="0" w:right="0" w:hanging="0"/>
              <w:jc w:val="left"/>
              <w:rPr/>
            </w:pPr>
            <w:r>
              <w:rPr/>
              <w:t> </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ptos" w:hAnsi="Aptos"/>
          <w:b/>
          <w:sz w:val="22"/>
        </w:rPr>
      </w:pPr>
      <w:r>
        <w:rPr>
          <w:rFonts w:ascii="Aptos" w:hAnsi="Aptos"/>
          <w:b/>
          <w:sz w:val="22"/>
        </w:rPr>
        <w:t>Exhibit 99.1</w:t>
      </w:r>
    </w:p>
    <w:p>
      <w:pPr>
        <w:pStyle w:val="TextBody"/>
        <w:bidi w:val="0"/>
        <w:spacing w:lineRule="auto" w:line="285" w:before="0" w:after="0"/>
        <w:ind w:left="0" w:right="0" w:hanging="0"/>
        <w:jc w:val="right"/>
        <w:rPr/>
      </w:pPr>
      <w:r>
        <w:rPr/>
        <w:t>​</w:t>
      </w:r>
    </w:p>
    <w:p>
      <w:pPr>
        <w:pStyle w:val="TextBody"/>
        <w:bidi w:val="0"/>
        <w:spacing w:lineRule="auto" w:line="285" w:before="0" w:after="0"/>
        <w:ind w:left="0" w:right="0" w:hanging="0"/>
        <w:jc w:val="right"/>
        <w:rPr>
          <w:rFonts w:ascii="Aptos" w:hAnsi="Aptos"/>
          <w:b/>
          <w:sz w:val="22"/>
        </w:rPr>
      </w:pPr>
      <w:r>
        <w:rPr>
          <w:rFonts w:ascii="Aptos" w:hAnsi="Aptos"/>
          <w:b/>
          <w:sz w:val="22"/>
        </w:rPr>
        <w:t>PRESS RELEASE</w:t>
      </w:r>
      <w:r>
        <mc:AlternateContent>
          <mc:Choice Requires="wps">
            <w:drawing>
              <wp:anchor behindDoc="0" distT="0" distB="0" distL="0" distR="114300" simplePos="0" locked="0" layoutInCell="1" allowOverlap="1" relativeHeight="6">
                <wp:simplePos x="0" y="0"/>
                <wp:positionH relativeFrom="column">
                  <wp:align>left</wp:align>
                </wp:positionH>
                <wp:positionV relativeFrom="line">
                  <wp:posOffset>635</wp:posOffset>
                </wp:positionV>
                <wp:extent cx="1971040" cy="614680"/>
                <wp:effectExtent l="0" t="0" r="0" b="0"/>
                <wp:wrapSquare wrapText="right"/>
                <wp:docPr id="7" name="Frame3"/>
                <a:graphic xmlns:a="http://schemas.openxmlformats.org/drawingml/2006/main">
                  <a:graphicData uri="http://schemas.microsoft.com/office/word/2010/wordprocessingShape">
                    <wps:wsp>
                      <wps:cNvSpPr txBox="1"/>
                      <wps:spPr>
                        <a:xfrm>
                          <a:off x="0" y="0"/>
                          <a:ext cx="1971040" cy="614680"/>
                        </a:xfrm>
                        <a:prstGeom prst="rect"/>
                        <a:solidFill>
                          <a:srgbClr val="FFFFFF"/>
                        </a:solidFill>
                      </wps:spPr>
                      <wps:txbx>
                        <w:txbxContent>
                          <w:p>
                            <w:pPr>
                              <w:pStyle w:val="TextBody"/>
                              <w:bidi w:val="0"/>
                              <w:spacing w:before="0" w:after="0"/>
                              <w:jc w:val="left"/>
                              <w:rPr/>
                            </w:pPr>
                            <w:r>
                              <w:rPr/>
                              <w:drawing>
                                <wp:inline distT="0" distB="0" distL="0" distR="0">
                                  <wp:extent cx="1971040" cy="61468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6"/>
                                          <a:stretch>
                                            <a:fillRect/>
                                          </a:stretch>
                                        </pic:blipFill>
                                        <pic:spPr bwMode="auto">
                                          <a:xfrm>
                                            <a:off x="0" y="0"/>
                                            <a:ext cx="1971040" cy="614680"/>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155.2pt;height:48.4pt;mso-wrap-distance-left:0pt;mso-wrap-distance-right:9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971040" cy="61468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7"/>
                                    <a:stretch>
                                      <a:fillRect/>
                                    </a:stretch>
                                  </pic:blipFill>
                                  <pic:spPr bwMode="auto">
                                    <a:xfrm>
                                      <a:off x="0" y="0"/>
                                      <a:ext cx="1971040" cy="614680"/>
                                    </a:xfrm>
                                    <a:prstGeom prst="rect">
                                      <a:avLst/>
                                    </a:prstGeom>
                                  </pic:spPr>
                                </pic:pic>
                              </a:graphicData>
                            </a:graphic>
                          </wp:inline>
                        </w:drawing>
                      </w:r>
                    </w:p>
                  </w:txbxContent>
                </v:textbox>
                <w10:wrap type="square" side="right"/>
              </v:rect>
            </w:pict>
          </mc:Fallback>
        </mc:AlternateContent>
      </w:r>
    </w:p>
    <w:p>
      <w:pPr>
        <w:pStyle w:val="TextBody"/>
        <w:bidi w:val="0"/>
        <w:spacing w:lineRule="auto" w:line="285" w:before="0" w:after="0"/>
        <w:ind w:left="0" w:right="0" w:hanging="0"/>
        <w:jc w:val="left"/>
        <w:rPr/>
      </w:pPr>
      <w:r>
        <w:rPr/>
        <w:t>​</w:t>
      </w:r>
    </w:p>
    <w:tbl>
      <w:tblPr>
        <w:tblW w:w="3815" w:type="dxa"/>
        <w:jc w:val="left"/>
        <w:tblInd w:w="0" w:type="dxa"/>
        <w:tblLayout w:type="fixed"/>
        <w:tblCellMar>
          <w:top w:w="0" w:type="dxa"/>
          <w:left w:w="0" w:type="dxa"/>
          <w:bottom w:w="0" w:type="dxa"/>
          <w:right w:w="0" w:type="dxa"/>
        </w:tblCellMar>
      </w:tblPr>
      <w:tblGrid>
        <w:gridCol w:w="3661"/>
        <w:gridCol w:w="154"/>
      </w:tblGrid>
      <w:tr>
        <w:trPr/>
        <w:tc>
          <w:tcPr>
            <w:tcW w:w="3661" w:type="dxa"/>
            <w:tcBorders/>
            <w:vAlign w:val="center"/>
          </w:tcPr>
          <w:p>
            <w:pPr>
              <w:pStyle w:val="TableContents"/>
              <w:bidi w:val="0"/>
              <w:spacing w:lineRule="auto" w:line="307" w:before="0" w:after="160"/>
              <w:ind w:left="0" w:right="0" w:hanging="0"/>
              <w:jc w:val="left"/>
              <w:rPr>
                <w:rFonts w:ascii="Aptos" w:hAnsi="Aptos"/>
                <w:sz w:val="20"/>
              </w:rPr>
            </w:pPr>
            <w:r>
              <w:rPr>
                <w:rFonts w:ascii="Arial;Helvetica;sans-serif" w:hAnsi="Arial;Helvetica;sans-serif"/>
                <w:sz w:val="20"/>
              </w:rPr>
              <w:t>Phone: +44 (0) 20 4566 8543</w:t>
              <w:br/>
              <w:t>Email: acimmune@optimumcomms.com</w:t>
            </w:r>
            <w:r>
              <w:rPr>
                <w:rFonts w:ascii="Arial;Helvetica;sans-serif" w:hAnsi="Arial;Helvetica;sans-serif"/>
                <w:b/>
                <w:sz w:val="20"/>
              </w:rPr>
              <w:br/>
              <w:br/>
            </w:r>
            <w:r>
              <w:rPr>
                <w:rFonts w:ascii="Aptos" w:hAnsi="Aptos"/>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79" w:before="0" w:after="160"/>
        <w:ind w:left="0" w:right="0" w:hanging="0"/>
        <w:jc w:val="both"/>
        <w:rPr>
          <w:rFonts w:ascii="Arial;Helvetica;sans-serif" w:hAnsi="Arial;Helvetica;sans-serif"/>
          <w:b/>
          <w:i/>
          <w:sz w:val="20"/>
        </w:rPr>
      </w:pPr>
      <w:r>
        <w:rPr>
          <w:rFonts w:ascii="Arial;Helvetica;sans-serif" w:hAnsi="Arial;Helvetica;sans-serif"/>
          <w:b/>
          <w:i/>
          <w:sz w:val="20"/>
        </w:rPr>
        <w:t>Forward looking statements</w:t>
      </w:r>
    </w:p>
    <w:p>
      <w:pPr>
        <w:pStyle w:val="TextBody"/>
        <w:bidi w:val="0"/>
        <w:spacing w:lineRule="auto" w:line="379" w:before="0" w:after="160"/>
        <w:ind w:left="0" w:right="0" w:hanging="0"/>
        <w:jc w:val="both"/>
        <w:rPr>
          <w:rFonts w:ascii="Arial;Helvetica;sans-serif" w:hAnsi="Arial;Helvetica;sans-serif"/>
          <w:i/>
          <w:sz w:val="20"/>
        </w:rPr>
      </w:pPr>
      <w:r>
        <w:rPr>
          <w:rFonts w:ascii="Arial;Helvetica;sans-serif" w:hAnsi="Arial;Helvetica;sans-serif"/>
          <w:i/>
          <w:sz w:val="20"/>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pto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1332</Words>
  <Characters>7966</Characters>
  <CharactersWithSpaces>9358</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